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EA" w:rsidRPr="00653F00" w:rsidRDefault="002463EA" w:rsidP="00E226A0">
      <w:pPr>
        <w:rPr>
          <w:b/>
          <w:sz w:val="20"/>
          <w:szCs w:val="20"/>
          <w:lang w:val="uz-Cyrl-UZ"/>
        </w:rPr>
      </w:pPr>
      <w:r w:rsidRPr="00653F00">
        <w:rPr>
          <w:b/>
          <w:sz w:val="20"/>
          <w:szCs w:val="20"/>
          <w:lang w:val="uz-Cyrl-UZ"/>
        </w:rPr>
        <w:t>Якубова У., Парпиева Н., Мухамедова Г.Р.</w:t>
      </w:r>
      <w:r w:rsidR="007F1659">
        <w:rPr>
          <w:b/>
          <w:sz w:val="20"/>
          <w:szCs w:val="20"/>
          <w:lang w:val="uz-Cyrl-UZ"/>
        </w:rPr>
        <w:t xml:space="preserve"> </w:t>
      </w:r>
      <w:bookmarkStart w:id="0" w:name="_GoBack"/>
      <w:bookmarkEnd w:id="0"/>
    </w:p>
    <w:p w:rsidR="002463EA" w:rsidRPr="00653F00" w:rsidRDefault="002463EA" w:rsidP="00E226A0">
      <w:pPr>
        <w:rPr>
          <w:i/>
          <w:sz w:val="20"/>
          <w:szCs w:val="20"/>
        </w:rPr>
      </w:pPr>
      <w:r w:rsidRPr="00653F00">
        <w:rPr>
          <w:i/>
          <w:sz w:val="20"/>
          <w:szCs w:val="20"/>
        </w:rPr>
        <w:t>ПОВЫШЕНИЕ КАЧЕСТВА И ЭФФЕКТИВНОСТИ ВЫСШЕГО ОБРАЗОВАНИЯ ЗА СЧЕТ ВНЕДРЕНИЯ МЕЖДУНАРОДНЫХ СТАНДАРТОВ КАЧЕСТВЕННОГО ОБУЧЕНИЯ И ОБРАЗОВАНИЯ</w:t>
      </w:r>
    </w:p>
    <w:p w:rsidR="002463EA" w:rsidRPr="00653F00" w:rsidRDefault="002463EA" w:rsidP="00E226A0">
      <w:pPr>
        <w:rPr>
          <w:i/>
          <w:sz w:val="20"/>
          <w:szCs w:val="20"/>
        </w:rPr>
      </w:pPr>
    </w:p>
    <w:p w:rsidR="002463EA" w:rsidRPr="00653F00" w:rsidRDefault="002463EA" w:rsidP="00E226A0">
      <w:pPr>
        <w:jc w:val="center"/>
        <w:rPr>
          <w:i/>
          <w:sz w:val="18"/>
          <w:szCs w:val="18"/>
        </w:rPr>
      </w:pPr>
      <w:r w:rsidRPr="00653F00">
        <w:rPr>
          <w:i/>
          <w:sz w:val="18"/>
          <w:szCs w:val="18"/>
        </w:rPr>
        <w:t>Ташкентский государственный экономический университет,</w:t>
      </w:r>
      <w:r w:rsidR="00FB4E5C">
        <w:rPr>
          <w:i/>
          <w:sz w:val="18"/>
          <w:szCs w:val="18"/>
        </w:rPr>
        <w:t xml:space="preserve"> старший преподаватель,</w:t>
      </w:r>
      <w:r w:rsidRPr="00653F00">
        <w:rPr>
          <w:i/>
          <w:sz w:val="18"/>
          <w:szCs w:val="18"/>
        </w:rPr>
        <w:t xml:space="preserve"> Республика Узбекистан, г. Ташкент,</w:t>
      </w:r>
      <w:r w:rsidRPr="00653F00">
        <w:rPr>
          <w:sz w:val="18"/>
          <w:szCs w:val="18"/>
        </w:rPr>
        <w:t xml:space="preserve"> </w:t>
      </w:r>
      <w:r w:rsidRPr="00653F00">
        <w:rPr>
          <w:i/>
          <w:sz w:val="18"/>
          <w:szCs w:val="18"/>
        </w:rPr>
        <w:t>umidayakubova@rambler.ru</w:t>
      </w:r>
    </w:p>
    <w:p w:rsidR="002463EA" w:rsidRPr="00653F00" w:rsidRDefault="002463EA" w:rsidP="00E226A0">
      <w:pPr>
        <w:jc w:val="center"/>
        <w:rPr>
          <w:i/>
          <w:sz w:val="18"/>
          <w:szCs w:val="18"/>
        </w:rPr>
      </w:pPr>
      <w:r w:rsidRPr="00653F00">
        <w:rPr>
          <w:i/>
          <w:sz w:val="18"/>
          <w:szCs w:val="18"/>
        </w:rPr>
        <w:t>Белорусско-узбекский межотраслевой институт прикладных технических квалификаций,</w:t>
      </w:r>
      <w:r w:rsidR="0016791C">
        <w:rPr>
          <w:i/>
          <w:sz w:val="18"/>
          <w:szCs w:val="18"/>
        </w:rPr>
        <w:t xml:space="preserve"> к.ф.-м.н.,</w:t>
      </w:r>
      <w:r w:rsidRPr="00653F00">
        <w:rPr>
          <w:i/>
          <w:sz w:val="18"/>
          <w:szCs w:val="18"/>
        </w:rPr>
        <w:t xml:space="preserve"> </w:t>
      </w:r>
      <w:r w:rsidR="00FB4E5C">
        <w:rPr>
          <w:i/>
          <w:sz w:val="18"/>
          <w:szCs w:val="18"/>
        </w:rPr>
        <w:t xml:space="preserve">доцент, </w:t>
      </w:r>
      <w:r w:rsidRPr="00653F00">
        <w:rPr>
          <w:i/>
          <w:sz w:val="18"/>
          <w:szCs w:val="18"/>
        </w:rPr>
        <w:t>Республика Узбекистан, г. Ташкент, nparpieva@mail.ru</w:t>
      </w:r>
    </w:p>
    <w:p w:rsidR="002463EA" w:rsidRPr="002463EA" w:rsidRDefault="002463EA" w:rsidP="00E226A0">
      <w:pPr>
        <w:jc w:val="center"/>
        <w:rPr>
          <w:rStyle w:val="a6"/>
          <w:i/>
          <w:color w:val="auto"/>
          <w:sz w:val="18"/>
          <w:szCs w:val="18"/>
          <w:u w:val="none"/>
          <w:shd w:val="clear" w:color="auto" w:fill="FFFFFF"/>
        </w:rPr>
      </w:pPr>
      <w:r w:rsidRPr="00653F00">
        <w:rPr>
          <w:i/>
          <w:sz w:val="18"/>
          <w:szCs w:val="18"/>
        </w:rPr>
        <w:t>Ташкентский государственный педагогический университет,</w:t>
      </w:r>
      <w:r w:rsidR="00FB4E5C">
        <w:rPr>
          <w:i/>
          <w:sz w:val="18"/>
          <w:szCs w:val="18"/>
        </w:rPr>
        <w:t xml:space="preserve"> </w:t>
      </w:r>
      <w:proofErr w:type="spellStart"/>
      <w:r w:rsidR="0016791C">
        <w:rPr>
          <w:i/>
          <w:sz w:val="18"/>
          <w:szCs w:val="18"/>
        </w:rPr>
        <w:t>к.п.н</w:t>
      </w:r>
      <w:proofErr w:type="spellEnd"/>
      <w:r w:rsidR="0016791C">
        <w:rPr>
          <w:i/>
          <w:sz w:val="18"/>
          <w:szCs w:val="18"/>
        </w:rPr>
        <w:t xml:space="preserve">., </w:t>
      </w:r>
      <w:r w:rsidR="00FB4E5C">
        <w:rPr>
          <w:i/>
          <w:sz w:val="18"/>
          <w:szCs w:val="18"/>
        </w:rPr>
        <w:t xml:space="preserve">доцент, </w:t>
      </w:r>
      <w:r w:rsidRPr="00653F00">
        <w:rPr>
          <w:i/>
          <w:sz w:val="18"/>
          <w:szCs w:val="18"/>
        </w:rPr>
        <w:t xml:space="preserve"> Республика Узбекистан, г. Ташкент</w:t>
      </w:r>
      <w:r w:rsidRPr="002463EA">
        <w:rPr>
          <w:i/>
          <w:sz w:val="18"/>
          <w:szCs w:val="18"/>
        </w:rPr>
        <w:t xml:space="preserve">, </w:t>
      </w:r>
      <w:hyperlink r:id="rId5" w:history="1">
        <w:r w:rsidRPr="002463EA">
          <w:rPr>
            <w:rStyle w:val="a6"/>
            <w:i/>
            <w:color w:val="auto"/>
            <w:sz w:val="18"/>
            <w:szCs w:val="18"/>
            <w:u w:val="none"/>
            <w:shd w:val="clear" w:color="auto" w:fill="FFFFFF"/>
          </w:rPr>
          <w:t>muxamedovagulchehra74@gmail.com</w:t>
        </w:r>
      </w:hyperlink>
    </w:p>
    <w:p w:rsidR="002463EA" w:rsidRPr="002463EA" w:rsidRDefault="002463EA" w:rsidP="00E226A0">
      <w:pPr>
        <w:jc w:val="center"/>
        <w:rPr>
          <w:i/>
          <w:sz w:val="20"/>
          <w:szCs w:val="20"/>
        </w:rPr>
      </w:pPr>
    </w:p>
    <w:p w:rsidR="002463EA" w:rsidRPr="00653F00" w:rsidRDefault="002463EA" w:rsidP="00E226A0">
      <w:pPr>
        <w:rPr>
          <w:b/>
          <w:sz w:val="20"/>
          <w:szCs w:val="20"/>
          <w:lang w:val="uz-Cyrl-UZ"/>
        </w:rPr>
      </w:pPr>
      <w:r w:rsidRPr="00653F00">
        <w:rPr>
          <w:b/>
          <w:sz w:val="20"/>
          <w:szCs w:val="20"/>
          <w:lang w:val="uz-Cyrl-UZ"/>
        </w:rPr>
        <w:t>Yakubova U., Parpi</w:t>
      </w:r>
      <w:r w:rsidRPr="00653F00">
        <w:rPr>
          <w:b/>
          <w:sz w:val="20"/>
          <w:szCs w:val="20"/>
          <w:lang w:val="en-US"/>
        </w:rPr>
        <w:t>y</w:t>
      </w:r>
      <w:r w:rsidRPr="00653F00">
        <w:rPr>
          <w:b/>
          <w:sz w:val="20"/>
          <w:szCs w:val="20"/>
          <w:lang w:val="uz-Cyrl-UZ"/>
        </w:rPr>
        <w:t>eva N., Muxamedova G.R.</w:t>
      </w:r>
    </w:p>
    <w:p w:rsidR="002463EA" w:rsidRPr="00653F00" w:rsidRDefault="002463EA" w:rsidP="00E226A0">
      <w:pPr>
        <w:rPr>
          <w:i/>
          <w:sz w:val="20"/>
          <w:szCs w:val="20"/>
          <w:lang w:val="en-US"/>
        </w:rPr>
      </w:pPr>
      <w:r w:rsidRPr="00653F00">
        <w:rPr>
          <w:i/>
          <w:sz w:val="20"/>
          <w:szCs w:val="20"/>
          <w:lang w:val="en-US"/>
        </w:rPr>
        <w:t xml:space="preserve">IMPROVING THE QUALITY AND EFFECTIVENESS OF HIGHER EDUCATION INSTITUTIONS THROUGH THE ADOPTION OF INTERNATIONAL STANDARDS OF QUALITY TEACHING AND LEARNING </w:t>
      </w:r>
    </w:p>
    <w:p w:rsidR="002463EA" w:rsidRPr="00653F00" w:rsidRDefault="002463EA" w:rsidP="00E226A0">
      <w:pPr>
        <w:rPr>
          <w:i/>
          <w:sz w:val="20"/>
          <w:szCs w:val="20"/>
          <w:lang w:val="en-US"/>
        </w:rPr>
      </w:pPr>
    </w:p>
    <w:p w:rsidR="002463EA" w:rsidRPr="00653F00" w:rsidRDefault="002463EA" w:rsidP="00E226A0">
      <w:pPr>
        <w:jc w:val="center"/>
        <w:rPr>
          <w:i/>
          <w:sz w:val="18"/>
          <w:szCs w:val="18"/>
          <w:lang w:val="en-US"/>
        </w:rPr>
      </w:pPr>
      <w:r w:rsidRPr="00653F00">
        <w:rPr>
          <w:i/>
          <w:sz w:val="18"/>
          <w:szCs w:val="18"/>
          <w:lang w:val="en-US"/>
        </w:rPr>
        <w:t>Tashkent State University of Economics, Uzbekistan,</w:t>
      </w:r>
      <w:r w:rsidR="00185FA2" w:rsidRPr="00185FA2">
        <w:rPr>
          <w:b/>
          <w:sz w:val="28"/>
          <w:szCs w:val="28"/>
          <w:lang w:val="en-US"/>
        </w:rPr>
        <w:t xml:space="preserve"> </w:t>
      </w:r>
      <w:r w:rsidR="00185FA2" w:rsidRPr="00185FA2">
        <w:rPr>
          <w:i/>
          <w:sz w:val="18"/>
          <w:szCs w:val="18"/>
          <w:lang w:val="en-US"/>
        </w:rPr>
        <w:t>senior lecturer</w:t>
      </w:r>
      <w:r w:rsidR="00185FA2">
        <w:rPr>
          <w:i/>
          <w:sz w:val="18"/>
          <w:szCs w:val="18"/>
          <w:lang w:val="en-US"/>
        </w:rPr>
        <w:t>,</w:t>
      </w:r>
      <w:r w:rsidRPr="00653F00">
        <w:rPr>
          <w:i/>
          <w:sz w:val="18"/>
          <w:szCs w:val="18"/>
          <w:lang w:val="en-US"/>
        </w:rPr>
        <w:t xml:space="preserve"> Tashkent,</w:t>
      </w:r>
      <w:r w:rsidRPr="00653F00">
        <w:rPr>
          <w:sz w:val="18"/>
          <w:szCs w:val="18"/>
          <w:lang w:val="en-US"/>
        </w:rPr>
        <w:t xml:space="preserve"> </w:t>
      </w:r>
      <w:r w:rsidRPr="00653F00">
        <w:rPr>
          <w:i/>
          <w:sz w:val="18"/>
          <w:szCs w:val="18"/>
          <w:lang w:val="en-US"/>
        </w:rPr>
        <w:t>umidayakubova@rambler.ru</w:t>
      </w:r>
    </w:p>
    <w:p w:rsidR="002463EA" w:rsidRPr="00653F00" w:rsidRDefault="002463EA" w:rsidP="00E226A0">
      <w:pPr>
        <w:jc w:val="center"/>
        <w:rPr>
          <w:i/>
          <w:sz w:val="18"/>
          <w:szCs w:val="18"/>
          <w:lang w:val="en-US"/>
        </w:rPr>
      </w:pPr>
      <w:r w:rsidRPr="00653F00">
        <w:rPr>
          <w:i/>
          <w:iCs/>
          <w:sz w:val="18"/>
          <w:szCs w:val="18"/>
          <w:lang w:val="en-US"/>
        </w:rPr>
        <w:t xml:space="preserve">Belarusian-Uzbek </w:t>
      </w:r>
      <w:proofErr w:type="spellStart"/>
      <w:r w:rsidRPr="00653F00">
        <w:rPr>
          <w:i/>
          <w:iCs/>
          <w:sz w:val="18"/>
          <w:szCs w:val="18"/>
          <w:lang w:val="en-US"/>
        </w:rPr>
        <w:t>Intersectoral</w:t>
      </w:r>
      <w:proofErr w:type="spellEnd"/>
      <w:r w:rsidRPr="00653F00">
        <w:rPr>
          <w:i/>
          <w:iCs/>
          <w:sz w:val="18"/>
          <w:szCs w:val="18"/>
          <w:lang w:val="en-US"/>
        </w:rPr>
        <w:t xml:space="preserve"> Institute of Applied Technical Qualifications,</w:t>
      </w:r>
      <w:r w:rsidR="00185FA2" w:rsidRPr="00185FA2">
        <w:rPr>
          <w:lang w:val="en-US"/>
        </w:rPr>
        <w:t xml:space="preserve"> </w:t>
      </w:r>
      <w:r w:rsidR="00185FA2" w:rsidRPr="00185FA2">
        <w:rPr>
          <w:i/>
          <w:iCs/>
          <w:sz w:val="18"/>
          <w:szCs w:val="18"/>
          <w:lang w:val="en-US"/>
        </w:rPr>
        <w:t>associate professor, candidate of pedagogical sciences</w:t>
      </w:r>
      <w:r w:rsidR="00185FA2">
        <w:rPr>
          <w:i/>
          <w:iCs/>
          <w:sz w:val="18"/>
          <w:szCs w:val="18"/>
          <w:lang w:val="en-US"/>
        </w:rPr>
        <w:t>,</w:t>
      </w:r>
      <w:r w:rsidRPr="00653F00">
        <w:rPr>
          <w:i/>
          <w:iCs/>
          <w:sz w:val="18"/>
          <w:szCs w:val="18"/>
          <w:lang w:val="en-US"/>
        </w:rPr>
        <w:t xml:space="preserve"> </w:t>
      </w:r>
      <w:r w:rsidRPr="00653F00">
        <w:rPr>
          <w:i/>
          <w:sz w:val="18"/>
          <w:szCs w:val="18"/>
          <w:lang w:val="en-US"/>
        </w:rPr>
        <w:t>Uzbekistan, Tashkent, nparpieva@mail.ru</w:t>
      </w:r>
    </w:p>
    <w:p w:rsidR="002463EA" w:rsidRPr="00653F00" w:rsidRDefault="002463EA" w:rsidP="00E226A0">
      <w:pPr>
        <w:jc w:val="center"/>
        <w:rPr>
          <w:i/>
          <w:iCs/>
          <w:sz w:val="18"/>
          <w:szCs w:val="18"/>
          <w:lang w:val="en-US"/>
        </w:rPr>
      </w:pPr>
      <w:r w:rsidRPr="00653F00">
        <w:rPr>
          <w:i/>
          <w:iCs/>
          <w:sz w:val="18"/>
          <w:szCs w:val="18"/>
          <w:lang w:val="en-US"/>
        </w:rPr>
        <w:t xml:space="preserve">Tashkent State Pedagogical University, </w:t>
      </w:r>
      <w:r w:rsidR="00185FA2" w:rsidRPr="00185FA2">
        <w:rPr>
          <w:i/>
          <w:iCs/>
          <w:sz w:val="18"/>
          <w:szCs w:val="18"/>
          <w:lang w:val="en-US"/>
        </w:rPr>
        <w:t>associate professor, candidate of pedagogical sciences</w:t>
      </w:r>
      <w:r w:rsidR="00185FA2">
        <w:rPr>
          <w:i/>
          <w:iCs/>
          <w:sz w:val="18"/>
          <w:szCs w:val="18"/>
          <w:lang w:val="en-US"/>
        </w:rPr>
        <w:t>,</w:t>
      </w:r>
      <w:r w:rsidR="00185FA2" w:rsidRPr="00185FA2">
        <w:rPr>
          <w:i/>
          <w:iCs/>
          <w:sz w:val="18"/>
          <w:szCs w:val="18"/>
          <w:lang w:val="en-US"/>
        </w:rPr>
        <w:t xml:space="preserve"> </w:t>
      </w:r>
      <w:r w:rsidRPr="00653F00">
        <w:rPr>
          <w:i/>
          <w:iCs/>
          <w:sz w:val="18"/>
          <w:szCs w:val="18"/>
          <w:lang w:val="en-US"/>
        </w:rPr>
        <w:t xml:space="preserve">Uzbekistan, </w:t>
      </w:r>
      <w:r w:rsidRPr="00653F00">
        <w:rPr>
          <w:i/>
          <w:sz w:val="18"/>
          <w:szCs w:val="18"/>
          <w:lang w:val="en-US"/>
        </w:rPr>
        <w:t xml:space="preserve">Tashkent, , </w:t>
      </w:r>
      <w:hyperlink r:id="rId6" w:history="1">
        <w:r w:rsidRPr="002463EA">
          <w:rPr>
            <w:rStyle w:val="a6"/>
            <w:i/>
            <w:color w:val="auto"/>
            <w:sz w:val="18"/>
            <w:szCs w:val="18"/>
            <w:u w:val="none"/>
            <w:shd w:val="clear" w:color="auto" w:fill="FFFFFF"/>
            <w:lang w:val="en-US"/>
          </w:rPr>
          <w:t>muxamedovagulchehra74@gmail.com</w:t>
        </w:r>
      </w:hyperlink>
    </w:p>
    <w:p w:rsidR="002463EA" w:rsidRPr="00653F00" w:rsidRDefault="002463EA" w:rsidP="00E226A0">
      <w:pPr>
        <w:rPr>
          <w:i/>
          <w:sz w:val="20"/>
          <w:szCs w:val="20"/>
          <w:lang w:val="en-US"/>
        </w:rPr>
      </w:pPr>
    </w:p>
    <w:p w:rsidR="002463EA" w:rsidRPr="00653F00" w:rsidRDefault="002463EA" w:rsidP="00E226A0">
      <w:pPr>
        <w:pStyle w:val="Default"/>
        <w:jc w:val="both"/>
        <w:rPr>
          <w:iCs/>
          <w:sz w:val="20"/>
          <w:szCs w:val="20"/>
        </w:rPr>
      </w:pPr>
      <w:r w:rsidRPr="00653F00">
        <w:rPr>
          <w:sz w:val="20"/>
          <w:szCs w:val="20"/>
        </w:rPr>
        <w:t>Аннотация</w:t>
      </w:r>
      <w:r w:rsidRPr="00653F00">
        <w:rPr>
          <w:iCs/>
          <w:sz w:val="20"/>
          <w:szCs w:val="20"/>
        </w:rPr>
        <w:t>. В статье приводятся некоторые применения математической теории в экономике. В частности, когда необходимо полу</w:t>
      </w:r>
      <w:r w:rsidRPr="00653F00">
        <w:rPr>
          <w:iCs/>
          <w:sz w:val="20"/>
          <w:szCs w:val="20"/>
          <w:lang w:val="uz-Cyrl-UZ"/>
        </w:rPr>
        <w:t>ч</w:t>
      </w:r>
      <w:proofErr w:type="spellStart"/>
      <w:r w:rsidRPr="00653F00">
        <w:rPr>
          <w:iCs/>
          <w:sz w:val="20"/>
          <w:szCs w:val="20"/>
        </w:rPr>
        <w:t>ить</w:t>
      </w:r>
      <w:proofErr w:type="spellEnd"/>
      <w:r w:rsidRPr="00653F00">
        <w:rPr>
          <w:iCs/>
          <w:sz w:val="20"/>
          <w:szCs w:val="20"/>
        </w:rPr>
        <w:t xml:space="preserve"> максимальную прибыль от суммы к концу года или </w:t>
      </w:r>
      <w:r w:rsidRPr="00653F00">
        <w:rPr>
          <w:iCs/>
          <w:sz w:val="20"/>
          <w:szCs w:val="20"/>
          <w:lang w:val="uz-Cyrl-UZ"/>
        </w:rPr>
        <w:t>ч</w:t>
      </w:r>
      <w:proofErr w:type="spellStart"/>
      <w:r w:rsidRPr="00653F00">
        <w:rPr>
          <w:iCs/>
          <w:sz w:val="20"/>
          <w:szCs w:val="20"/>
        </w:rPr>
        <w:t>ерез</w:t>
      </w:r>
      <w:proofErr w:type="spellEnd"/>
      <w:r w:rsidRPr="00653F00">
        <w:rPr>
          <w:iCs/>
          <w:sz w:val="20"/>
          <w:szCs w:val="20"/>
        </w:rPr>
        <w:t xml:space="preserve"> несколько лет. </w:t>
      </w:r>
    </w:p>
    <w:p w:rsidR="002463EA" w:rsidRPr="00653F00" w:rsidRDefault="002463EA" w:rsidP="00E226A0">
      <w:pPr>
        <w:pStyle w:val="Default"/>
        <w:jc w:val="both"/>
        <w:rPr>
          <w:iCs/>
          <w:sz w:val="20"/>
          <w:szCs w:val="20"/>
        </w:rPr>
      </w:pPr>
    </w:p>
    <w:p w:rsidR="002463EA" w:rsidRPr="00653F00" w:rsidRDefault="002463EA" w:rsidP="00E226A0">
      <w:pPr>
        <w:pStyle w:val="Default"/>
        <w:jc w:val="both"/>
        <w:rPr>
          <w:sz w:val="20"/>
          <w:szCs w:val="20"/>
          <w:lang w:val="en-US"/>
        </w:rPr>
      </w:pPr>
      <w:r w:rsidRPr="00653F00">
        <w:rPr>
          <w:iCs/>
          <w:sz w:val="20"/>
          <w:szCs w:val="20"/>
          <w:lang w:val="en-US"/>
        </w:rPr>
        <w:t>Abstract</w:t>
      </w:r>
      <w:r w:rsidRPr="00653F00">
        <w:rPr>
          <w:i/>
          <w:iCs/>
          <w:sz w:val="20"/>
          <w:szCs w:val="20"/>
          <w:lang w:val="en-US"/>
        </w:rPr>
        <w:t xml:space="preserve">. </w:t>
      </w:r>
      <w:r w:rsidRPr="00653F00">
        <w:rPr>
          <w:sz w:val="20"/>
          <w:szCs w:val="20"/>
          <w:lang w:val="en-US"/>
        </w:rPr>
        <w:t xml:space="preserve">The paper provides some applications of mathematical theory in economics. In particular, when it is necessary </w:t>
      </w:r>
      <w:r w:rsidRPr="00653F00">
        <w:rPr>
          <w:sz w:val="20"/>
          <w:szCs w:val="20"/>
          <w:lang w:val="uz-Cyrl-UZ"/>
        </w:rPr>
        <w:t>to get the maximum profit from th</w:t>
      </w:r>
      <w:r w:rsidRPr="00653F00">
        <w:rPr>
          <w:sz w:val="20"/>
          <w:szCs w:val="20"/>
          <w:lang w:val="en-US"/>
        </w:rPr>
        <w:t>e</w:t>
      </w:r>
      <w:r w:rsidRPr="00653F00">
        <w:rPr>
          <w:sz w:val="20"/>
          <w:szCs w:val="20"/>
          <w:lang w:val="uz-Cyrl-UZ"/>
        </w:rPr>
        <w:t xml:space="preserve"> amount by the end of the year</w:t>
      </w:r>
      <w:r w:rsidRPr="00653F00">
        <w:rPr>
          <w:sz w:val="20"/>
          <w:szCs w:val="20"/>
          <w:lang w:val="en-US"/>
        </w:rPr>
        <w:t>, or after several years.</w:t>
      </w:r>
    </w:p>
    <w:p w:rsidR="002463EA" w:rsidRPr="00653F00" w:rsidRDefault="002463EA" w:rsidP="00E226A0">
      <w:pPr>
        <w:pStyle w:val="Default"/>
        <w:jc w:val="both"/>
        <w:rPr>
          <w:sz w:val="20"/>
          <w:szCs w:val="20"/>
          <w:lang w:val="en-US"/>
        </w:rPr>
      </w:pPr>
      <w:r w:rsidRPr="00653F00">
        <w:rPr>
          <w:sz w:val="20"/>
          <w:szCs w:val="20"/>
          <w:lang w:val="en-US"/>
        </w:rPr>
        <w:t xml:space="preserve"> </w:t>
      </w:r>
    </w:p>
    <w:p w:rsidR="002463EA" w:rsidRPr="00653F00" w:rsidRDefault="002463EA" w:rsidP="00E226A0">
      <w:pPr>
        <w:pStyle w:val="Default"/>
        <w:jc w:val="both"/>
        <w:rPr>
          <w:sz w:val="20"/>
          <w:szCs w:val="20"/>
        </w:rPr>
      </w:pPr>
      <w:r w:rsidRPr="00653F00">
        <w:rPr>
          <w:sz w:val="20"/>
          <w:szCs w:val="20"/>
        </w:rPr>
        <w:t>Ключевые слова: объем капитала, боль</w:t>
      </w:r>
      <w:r w:rsidRPr="00653F00">
        <w:rPr>
          <w:sz w:val="20"/>
          <w:szCs w:val="20"/>
          <w:lang w:val="uz-Cyrl-UZ"/>
        </w:rPr>
        <w:t>ш</w:t>
      </w:r>
      <w:proofErr w:type="spellStart"/>
      <w:r w:rsidRPr="00653F00">
        <w:rPr>
          <w:sz w:val="20"/>
          <w:szCs w:val="20"/>
        </w:rPr>
        <w:t>ая</w:t>
      </w:r>
      <w:proofErr w:type="spellEnd"/>
      <w:r w:rsidRPr="00653F00">
        <w:rPr>
          <w:sz w:val="20"/>
          <w:szCs w:val="20"/>
        </w:rPr>
        <w:t xml:space="preserve"> эффективность, непрерывные проценты.</w:t>
      </w:r>
    </w:p>
    <w:p w:rsidR="002463EA" w:rsidRPr="00653F00" w:rsidRDefault="002463EA" w:rsidP="00E226A0">
      <w:pPr>
        <w:pStyle w:val="Default"/>
        <w:jc w:val="both"/>
        <w:rPr>
          <w:sz w:val="20"/>
          <w:szCs w:val="20"/>
        </w:rPr>
      </w:pPr>
    </w:p>
    <w:p w:rsidR="002463EA" w:rsidRPr="00653F00" w:rsidRDefault="002463EA" w:rsidP="00E226A0">
      <w:pPr>
        <w:jc w:val="both"/>
        <w:rPr>
          <w:sz w:val="20"/>
          <w:szCs w:val="20"/>
          <w:lang w:val="en-US"/>
        </w:rPr>
      </w:pPr>
      <w:r w:rsidRPr="00653F00">
        <w:rPr>
          <w:iCs/>
          <w:sz w:val="20"/>
          <w:szCs w:val="20"/>
          <w:lang w:val="en-US"/>
        </w:rPr>
        <w:t>Keywords:</w:t>
      </w:r>
      <w:r w:rsidRPr="00653F00">
        <w:rPr>
          <w:i/>
          <w:iCs/>
          <w:sz w:val="20"/>
          <w:szCs w:val="20"/>
          <w:lang w:val="en-US"/>
        </w:rPr>
        <w:t xml:space="preserve"> </w:t>
      </w:r>
      <w:r w:rsidRPr="00653F00">
        <w:rPr>
          <w:rFonts w:eastAsia="Calibri"/>
          <w:sz w:val="20"/>
          <w:szCs w:val="20"/>
          <w:lang w:val="en-US"/>
        </w:rPr>
        <w:t>the a</w:t>
      </w:r>
      <w:r w:rsidRPr="00653F00">
        <w:rPr>
          <w:rFonts w:eastAsia="Calibri"/>
          <w:sz w:val="20"/>
          <w:szCs w:val="20"/>
          <w:lang w:val="uz-Cyrl-UZ"/>
        </w:rPr>
        <w:t>mount of capital</w:t>
      </w:r>
      <w:r w:rsidRPr="00653F00">
        <w:rPr>
          <w:rFonts w:eastAsia="Calibri"/>
          <w:sz w:val="20"/>
          <w:szCs w:val="20"/>
          <w:lang w:val="en-US"/>
        </w:rPr>
        <w:t xml:space="preserve">, </w:t>
      </w:r>
      <w:r w:rsidRPr="00653F00">
        <w:rPr>
          <w:rFonts w:eastAsia="Calibri"/>
          <w:sz w:val="20"/>
          <w:szCs w:val="20"/>
          <w:lang w:val="uz-Cyrl-UZ"/>
        </w:rPr>
        <w:t>greater efficiency</w:t>
      </w:r>
      <w:r w:rsidRPr="00653F00">
        <w:rPr>
          <w:rFonts w:eastAsia="Calibri"/>
          <w:sz w:val="20"/>
          <w:szCs w:val="20"/>
          <w:lang w:val="en-US"/>
        </w:rPr>
        <w:t xml:space="preserve">, </w:t>
      </w:r>
      <w:r w:rsidRPr="00653F00">
        <w:rPr>
          <w:rFonts w:eastAsia="Calibri"/>
          <w:sz w:val="20"/>
          <w:szCs w:val="20"/>
          <w:lang w:val="uz-Cyrl-UZ"/>
        </w:rPr>
        <w:t>continuous interest</w:t>
      </w:r>
      <w:r w:rsidRPr="00653F00">
        <w:rPr>
          <w:sz w:val="20"/>
          <w:szCs w:val="20"/>
          <w:lang w:val="en-US"/>
        </w:rPr>
        <w:t>.</w:t>
      </w:r>
    </w:p>
    <w:p w:rsidR="002463EA" w:rsidRPr="00653F00" w:rsidRDefault="002463EA" w:rsidP="00E226A0">
      <w:pPr>
        <w:jc w:val="both"/>
        <w:rPr>
          <w:b/>
          <w:sz w:val="20"/>
          <w:szCs w:val="20"/>
          <w:lang w:val="en-US"/>
        </w:rPr>
      </w:pPr>
    </w:p>
    <w:p w:rsidR="002463EA" w:rsidRPr="00653F00" w:rsidRDefault="002463EA" w:rsidP="00E226A0">
      <w:pPr>
        <w:ind w:firstLine="397"/>
        <w:jc w:val="both"/>
        <w:rPr>
          <w:sz w:val="20"/>
          <w:szCs w:val="20"/>
          <w:lang w:val="en-US"/>
        </w:rPr>
      </w:pPr>
      <w:r w:rsidRPr="00653F00">
        <w:rPr>
          <w:sz w:val="20"/>
          <w:szCs w:val="20"/>
          <w:lang w:val="en-US"/>
        </w:rPr>
        <w:t>It is well known, that President of Uzbekistan signed a Decree “On Action Strategy on further developing of Uzbekistan”. The Action Strategy on five priority directions on development of Uzbekistan is designed for 2017-2021 [1].</w:t>
      </w:r>
    </w:p>
    <w:p w:rsidR="002463EA" w:rsidRPr="00653F00" w:rsidRDefault="002463EA" w:rsidP="00E226A0">
      <w:pPr>
        <w:ind w:firstLine="397"/>
        <w:jc w:val="both"/>
        <w:rPr>
          <w:sz w:val="20"/>
          <w:szCs w:val="20"/>
          <w:lang w:val="en-US"/>
        </w:rPr>
      </w:pPr>
      <w:r w:rsidRPr="00653F00">
        <w:rPr>
          <w:sz w:val="20"/>
          <w:szCs w:val="20"/>
          <w:lang w:val="en-US"/>
        </w:rPr>
        <w:t>The document is aimed at improving the efficiency of the reforms, creating conditions for full and accelerated development of the state and society, implementing the priority areas for modernization and liberalization of the country in all spheres of the life.</w:t>
      </w:r>
    </w:p>
    <w:p w:rsidR="002463EA" w:rsidRPr="00653F00" w:rsidRDefault="002463EA" w:rsidP="00E226A0">
      <w:pPr>
        <w:ind w:firstLine="397"/>
        <w:jc w:val="both"/>
        <w:rPr>
          <w:sz w:val="20"/>
          <w:szCs w:val="20"/>
          <w:lang w:val="en-US"/>
        </w:rPr>
      </w:pPr>
      <w:r w:rsidRPr="00653F00">
        <w:rPr>
          <w:sz w:val="20"/>
          <w:szCs w:val="20"/>
          <w:lang w:val="en-US"/>
        </w:rPr>
        <w:t>The Strategy includes five priority directions – improving state and public construction, ensuring rule of law and reforming judicial-legal system, developing and liberalizing economy, developing social sphere and ensuring security, inter-ethnic harmony and religious tolerance, implementing balanced, mutually beneficial and constructive foreign policy.</w:t>
      </w:r>
    </w:p>
    <w:p w:rsidR="002463EA" w:rsidRPr="00653F00" w:rsidRDefault="002463EA" w:rsidP="00E226A0">
      <w:pPr>
        <w:ind w:firstLine="397"/>
        <w:jc w:val="both"/>
        <w:rPr>
          <w:sz w:val="20"/>
          <w:szCs w:val="20"/>
          <w:lang w:val="en-US"/>
        </w:rPr>
      </w:pPr>
      <w:r w:rsidRPr="00653F00">
        <w:rPr>
          <w:sz w:val="20"/>
          <w:szCs w:val="20"/>
          <w:lang w:val="en-US"/>
        </w:rPr>
        <w:t>The Action Strategy proclaims improving the quality and effectiveness of higher education institutions through the adoption of international standards of quality teaching, learning and assessment.</w:t>
      </w:r>
    </w:p>
    <w:p w:rsidR="002463EA" w:rsidRPr="00653F00" w:rsidRDefault="002463EA" w:rsidP="00E226A0">
      <w:pPr>
        <w:ind w:firstLine="397"/>
        <w:jc w:val="both"/>
        <w:rPr>
          <w:sz w:val="20"/>
          <w:szCs w:val="20"/>
          <w:lang w:val="en-US"/>
        </w:rPr>
      </w:pPr>
      <w:r w:rsidRPr="00653F00">
        <w:rPr>
          <w:sz w:val="20"/>
          <w:szCs w:val="20"/>
          <w:lang w:val="en-US"/>
        </w:rPr>
        <w:t>According to this Decree nowadays the requirement of modern life is to teach our subjects implementing foreign experience in education. That is why we teach our subjects in English.</w:t>
      </w:r>
    </w:p>
    <w:p w:rsidR="002463EA" w:rsidRPr="00653F00" w:rsidRDefault="002463EA" w:rsidP="00E226A0">
      <w:pPr>
        <w:pStyle w:val="Default"/>
        <w:ind w:firstLine="397"/>
        <w:jc w:val="both"/>
        <w:rPr>
          <w:sz w:val="20"/>
          <w:szCs w:val="20"/>
          <w:lang w:val="en-US"/>
        </w:rPr>
      </w:pPr>
      <w:r w:rsidRPr="00653F00">
        <w:rPr>
          <w:sz w:val="20"/>
          <w:szCs w:val="20"/>
          <w:lang w:val="en-US"/>
        </w:rPr>
        <w:t xml:space="preserve"> </w:t>
      </w:r>
      <w:r w:rsidRPr="00653F00">
        <w:rPr>
          <w:sz w:val="20"/>
          <w:szCs w:val="20"/>
          <w:lang w:val="en-US"/>
        </w:rPr>
        <w:tab/>
        <w:t xml:space="preserve">At present, the ability to apply theoretical knowledge in practical tasks becomes the decisive factor for studying discipline. In particular, based on years of experience teaching practical mathematics in the economic university, the authors seem to need to demonstrate the solution of some economic problems with the help of a mathematical apparatus. </w:t>
      </w:r>
    </w:p>
    <w:p w:rsidR="002463EA" w:rsidRPr="00653F00" w:rsidRDefault="002463EA" w:rsidP="00E226A0">
      <w:pPr>
        <w:pStyle w:val="Default"/>
        <w:ind w:firstLine="397"/>
        <w:jc w:val="both"/>
        <w:rPr>
          <w:sz w:val="20"/>
          <w:szCs w:val="20"/>
          <w:lang w:val="en-US"/>
        </w:rPr>
      </w:pPr>
      <w:r w:rsidRPr="00653F00">
        <w:rPr>
          <w:sz w:val="20"/>
          <w:szCs w:val="20"/>
          <w:lang w:val="en-US"/>
        </w:rPr>
        <w:t xml:space="preserve"> If we fail to improve math education, given the needs of the modern world and students, we are in danger of turning mathematics into an increasingly "dead language" and alienating groups of students whose mathematical potential will remain undeveloped [2]. </w:t>
      </w:r>
    </w:p>
    <w:p w:rsidR="002463EA" w:rsidRPr="00653F00" w:rsidRDefault="002463EA" w:rsidP="00E226A0">
      <w:pPr>
        <w:pStyle w:val="Default"/>
        <w:ind w:firstLine="397"/>
        <w:jc w:val="both"/>
        <w:rPr>
          <w:sz w:val="20"/>
          <w:szCs w:val="20"/>
          <w:lang w:val="en-US"/>
        </w:rPr>
      </w:pPr>
      <w:r w:rsidRPr="00653F00">
        <w:rPr>
          <w:sz w:val="20"/>
          <w:szCs w:val="20"/>
          <w:lang w:val="uz-Cyrl-UZ"/>
        </w:rPr>
        <w:t>Let the deposit at the beginning of the year equal</w:t>
      </w:r>
      <w:r w:rsidRPr="00653F00">
        <w:rPr>
          <w:sz w:val="20"/>
          <w:szCs w:val="20"/>
          <w:lang w:val="en-US"/>
        </w:rPr>
        <w:t>s to</w:t>
      </w:r>
      <w:r w:rsidRPr="00653F00">
        <w:rPr>
          <w:sz w:val="20"/>
          <w:szCs w:val="20"/>
          <w:lang w:val="uz-Cyrl-UZ"/>
        </w:rPr>
        <w:t xml:space="preserve"> </w:t>
      </w:r>
      <w:r w:rsidRPr="002463EA">
        <w:rPr>
          <w:noProof/>
          <w:position w:val="-12"/>
          <w:sz w:val="20"/>
          <w:szCs w:val="20"/>
          <w:lang w:eastAsia="ru-RU"/>
        </w:rPr>
        <w:drawing>
          <wp:inline distT="0" distB="0" distL="0" distR="0">
            <wp:extent cx="190500" cy="215900"/>
            <wp:effectExtent l="0" t="0" r="0" b="0"/>
            <wp:docPr id="2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r w:rsidRPr="00653F00">
        <w:rPr>
          <w:sz w:val="20"/>
          <w:szCs w:val="20"/>
          <w:lang w:val="uz-Cyrl-UZ"/>
        </w:rPr>
        <w:t xml:space="preserve">. Interesting task is to get the maximum profit from this amount by the end of the year. One of the existing ways is to use the services of a bank. Suppose the bank issues 100% per annum. This means a 100% annual increase in capital, and proportionately in the remaining short periods (e.g. </w:t>
      </w:r>
      <w:r w:rsidRPr="00653F00">
        <w:rPr>
          <w:sz w:val="20"/>
          <w:szCs w:val="20"/>
          <w:lang w:val="en-US"/>
        </w:rPr>
        <w:t>on</w:t>
      </w:r>
      <w:r w:rsidRPr="00653F00">
        <w:rPr>
          <w:sz w:val="20"/>
          <w:szCs w:val="20"/>
          <w:lang w:val="uz-Cyrl-UZ"/>
        </w:rPr>
        <w:t xml:space="preserve"> </w:t>
      </w:r>
      <w:r w:rsidRPr="002463EA">
        <w:rPr>
          <w:noProof/>
          <w:position w:val="-24"/>
          <w:sz w:val="20"/>
          <w:szCs w:val="20"/>
          <w:lang w:eastAsia="ru-RU"/>
        </w:rPr>
        <w:drawing>
          <wp:inline distT="0" distB="0" distL="0" distR="0">
            <wp:extent cx="279400" cy="400050"/>
            <wp:effectExtent l="0" t="0" r="0" b="0"/>
            <wp:docPr id="1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 cy="400050"/>
                    </a:xfrm>
                    <a:prstGeom prst="rect">
                      <a:avLst/>
                    </a:prstGeom>
                    <a:noFill/>
                    <a:ln>
                      <a:noFill/>
                    </a:ln>
                  </pic:spPr>
                </pic:pic>
              </a:graphicData>
            </a:graphic>
          </wp:inline>
        </w:drawing>
      </w:r>
      <w:r w:rsidRPr="00653F00">
        <w:rPr>
          <w:sz w:val="20"/>
          <w:szCs w:val="20"/>
          <w:lang w:val="uz-Cyrl-UZ"/>
        </w:rPr>
        <w:t>%</w:t>
      </w:r>
      <w:r w:rsidRPr="00653F00">
        <w:rPr>
          <w:sz w:val="20"/>
          <w:szCs w:val="20"/>
          <w:lang w:val="en-US"/>
        </w:rPr>
        <w:t xml:space="preserve"> </w:t>
      </w:r>
      <w:r w:rsidRPr="00653F00">
        <w:rPr>
          <w:sz w:val="20"/>
          <w:szCs w:val="20"/>
          <w:lang w:val="uz-Cyrl-UZ"/>
        </w:rPr>
        <w:t>per month</w:t>
      </w:r>
      <w:r w:rsidRPr="00653F00">
        <w:rPr>
          <w:sz w:val="20"/>
          <w:szCs w:val="20"/>
          <w:lang w:val="en-US"/>
        </w:rPr>
        <w:t>) [3].</w:t>
      </w:r>
    </w:p>
    <w:p w:rsidR="002463EA" w:rsidRPr="00653F00" w:rsidRDefault="002463EA" w:rsidP="00E226A0">
      <w:pPr>
        <w:ind w:firstLine="397"/>
        <w:jc w:val="both"/>
        <w:rPr>
          <w:rFonts w:eastAsia="Calibri"/>
          <w:sz w:val="20"/>
          <w:szCs w:val="20"/>
          <w:lang w:val="uz-Cyrl-UZ"/>
        </w:rPr>
      </w:pPr>
      <w:r w:rsidRPr="00653F00">
        <w:rPr>
          <w:rFonts w:eastAsia="Calibri"/>
          <w:sz w:val="20"/>
          <w:szCs w:val="20"/>
          <w:lang w:val="uz-Cyrl-UZ"/>
        </w:rPr>
        <w:t xml:space="preserve">This means that the amount of capital will double in a year </w:t>
      </w:r>
      <w:r w:rsidRPr="002463EA">
        <w:rPr>
          <w:rFonts w:eastAsia="Calibri"/>
          <w:noProof/>
          <w:position w:val="-12"/>
          <w:sz w:val="20"/>
          <w:szCs w:val="20"/>
        </w:rPr>
        <w:drawing>
          <wp:inline distT="0" distB="0" distL="0" distR="0">
            <wp:extent cx="863600" cy="215900"/>
            <wp:effectExtent l="0" t="0" r="0" b="0"/>
            <wp:docPr id="1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215900"/>
                    </a:xfrm>
                    <a:prstGeom prst="rect">
                      <a:avLst/>
                    </a:prstGeom>
                    <a:noFill/>
                    <a:ln>
                      <a:noFill/>
                    </a:ln>
                  </pic:spPr>
                </pic:pic>
              </a:graphicData>
            </a:graphic>
          </wp:inline>
        </w:drawing>
      </w:r>
      <w:r w:rsidRPr="00653F00">
        <w:rPr>
          <w:rFonts w:eastAsia="Calibri"/>
          <w:sz w:val="20"/>
          <w:szCs w:val="20"/>
          <w:lang w:val="uz-Cyrl-UZ"/>
        </w:rPr>
        <w:t>.</w:t>
      </w:r>
      <w:r w:rsidRPr="00653F00">
        <w:rPr>
          <w:rFonts w:eastAsia="Calibri"/>
          <w:sz w:val="20"/>
          <w:szCs w:val="20"/>
          <w:lang w:val="en-US"/>
        </w:rPr>
        <w:t xml:space="preserve"> </w:t>
      </w:r>
      <w:r w:rsidRPr="00653F00">
        <w:rPr>
          <w:rFonts w:eastAsia="Calibri"/>
          <w:sz w:val="20"/>
          <w:szCs w:val="20"/>
          <w:lang w:val="uz-Cyrl-UZ"/>
        </w:rPr>
        <w:t xml:space="preserve">For even greater efficiency in six months you can close the account and immediately open it for the next six months, in this case </w:t>
      </w:r>
      <w:r w:rsidRPr="00653F00">
        <w:rPr>
          <w:rFonts w:eastAsia="Calibri"/>
          <w:sz w:val="20"/>
          <w:szCs w:val="20"/>
          <w:lang w:val="uz-Cyrl-UZ"/>
        </w:rPr>
        <w:lastRenderedPageBreak/>
        <w:t xml:space="preserve">the size of the capital in six months </w:t>
      </w:r>
      <w:r w:rsidRPr="002463EA">
        <w:rPr>
          <w:rFonts w:eastAsia="Calibri"/>
          <w:noProof/>
          <w:position w:val="-28"/>
          <w:sz w:val="20"/>
          <w:szCs w:val="20"/>
        </w:rPr>
        <w:drawing>
          <wp:inline distT="0" distB="0" distL="0" distR="0">
            <wp:extent cx="1365250" cy="43180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0" cy="431800"/>
                    </a:xfrm>
                    <a:prstGeom prst="rect">
                      <a:avLst/>
                    </a:prstGeom>
                    <a:noFill/>
                    <a:ln>
                      <a:noFill/>
                    </a:ln>
                  </pic:spPr>
                </pic:pic>
              </a:graphicData>
            </a:graphic>
          </wp:inline>
        </w:drawing>
      </w:r>
      <w:r w:rsidRPr="00653F00">
        <w:rPr>
          <w:rFonts w:eastAsia="Calibri"/>
          <w:sz w:val="20"/>
          <w:szCs w:val="20"/>
          <w:lang w:val="uz-Cyrl-UZ"/>
        </w:rPr>
        <w:t xml:space="preserve">, </w:t>
      </w:r>
      <w:r w:rsidRPr="00653F00">
        <w:rPr>
          <w:rFonts w:eastAsia="Calibri"/>
          <w:sz w:val="20"/>
          <w:szCs w:val="20"/>
          <w:lang w:val="en-US"/>
        </w:rPr>
        <w:t>a</w:t>
      </w:r>
      <w:r w:rsidRPr="00653F00">
        <w:rPr>
          <w:rFonts w:eastAsia="Calibri"/>
          <w:sz w:val="20"/>
          <w:szCs w:val="20"/>
          <w:lang w:val="uz-Cyrl-UZ"/>
        </w:rPr>
        <w:t xml:space="preserve">nd at the end of the year </w:t>
      </w:r>
      <w:r w:rsidRPr="002463EA">
        <w:rPr>
          <w:rFonts w:eastAsia="Calibri"/>
          <w:noProof/>
          <w:position w:val="-28"/>
          <w:sz w:val="20"/>
          <w:szCs w:val="20"/>
        </w:rPr>
        <w:drawing>
          <wp:inline distT="0" distB="0" distL="0" distR="0">
            <wp:extent cx="1314450" cy="463550"/>
            <wp:effectExtent l="0" t="0" r="0" b="0"/>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463550"/>
                    </a:xfrm>
                    <a:prstGeom prst="rect">
                      <a:avLst/>
                    </a:prstGeom>
                    <a:noFill/>
                    <a:ln>
                      <a:noFill/>
                    </a:ln>
                  </pic:spPr>
                </pic:pic>
              </a:graphicData>
            </a:graphic>
          </wp:inline>
        </w:drawing>
      </w:r>
      <w:r w:rsidRPr="00653F00">
        <w:rPr>
          <w:rFonts w:eastAsia="Calibri"/>
          <w:sz w:val="20"/>
          <w:szCs w:val="20"/>
          <w:lang w:val="uz-Cyrl-UZ"/>
        </w:rPr>
        <w:t xml:space="preserve">. How often an account is closed and opened for a year, so much more profit can be obtained. For example, if you </w:t>
      </w:r>
      <w:r w:rsidRPr="00653F00">
        <w:rPr>
          <w:rFonts w:eastAsia="Calibri"/>
          <w:sz w:val="20"/>
          <w:szCs w:val="20"/>
          <w:lang w:val="en-US"/>
        </w:rPr>
        <w:t>do</w:t>
      </w:r>
      <w:r w:rsidRPr="00653F00">
        <w:rPr>
          <w:rFonts w:eastAsia="Calibri"/>
          <w:sz w:val="20"/>
          <w:szCs w:val="20"/>
          <w:lang w:val="uz-Cyrl-UZ"/>
        </w:rPr>
        <w:t xml:space="preserve"> this at the end of each month, at the end of the year, the amount of capital </w:t>
      </w:r>
      <w:r w:rsidRPr="002463EA">
        <w:rPr>
          <w:rFonts w:eastAsia="Calibri"/>
          <w:noProof/>
          <w:position w:val="-28"/>
          <w:sz w:val="20"/>
          <w:szCs w:val="20"/>
        </w:rPr>
        <w:drawing>
          <wp:inline distT="0" distB="0" distL="0" distR="0">
            <wp:extent cx="1492250" cy="463550"/>
            <wp:effectExtent l="0" t="0" r="0" b="0"/>
            <wp:docPr id="1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463550"/>
                    </a:xfrm>
                    <a:prstGeom prst="rect">
                      <a:avLst/>
                    </a:prstGeom>
                    <a:noFill/>
                    <a:ln>
                      <a:noFill/>
                    </a:ln>
                  </pic:spPr>
                </pic:pic>
              </a:graphicData>
            </a:graphic>
          </wp:inline>
        </w:drawing>
      </w:r>
      <w:r w:rsidRPr="00653F00">
        <w:rPr>
          <w:rFonts w:eastAsia="Calibri"/>
          <w:sz w:val="20"/>
          <w:szCs w:val="20"/>
          <w:lang w:val="uz-Cyrl-UZ"/>
        </w:rPr>
        <w:t xml:space="preserve">, </w:t>
      </w:r>
      <w:proofErr w:type="spellStart"/>
      <w:r w:rsidRPr="00653F00">
        <w:rPr>
          <w:rFonts w:eastAsia="Calibri"/>
          <w:sz w:val="20"/>
          <w:szCs w:val="20"/>
          <w:lang w:val="en-US"/>
        </w:rPr>
        <w:t>i</w:t>
      </w:r>
      <w:proofErr w:type="spellEnd"/>
      <w:r w:rsidRPr="00653F00">
        <w:rPr>
          <w:rFonts w:eastAsia="Calibri"/>
          <w:sz w:val="20"/>
          <w:szCs w:val="20"/>
          <w:lang w:val="uz-Cyrl-UZ"/>
        </w:rPr>
        <w:t xml:space="preserve">f the account </w:t>
      </w:r>
      <w:r w:rsidRPr="00653F00">
        <w:rPr>
          <w:rFonts w:eastAsia="Calibri"/>
          <w:sz w:val="20"/>
          <w:szCs w:val="20"/>
          <w:lang w:val="en-US"/>
        </w:rPr>
        <w:t xml:space="preserve">is to be </w:t>
      </w:r>
      <w:r w:rsidRPr="00653F00">
        <w:rPr>
          <w:rFonts w:eastAsia="Calibri"/>
          <w:sz w:val="20"/>
          <w:szCs w:val="20"/>
          <w:lang w:val="uz-Cyrl-UZ"/>
        </w:rPr>
        <w:t>close</w:t>
      </w:r>
      <w:r w:rsidRPr="00653F00">
        <w:rPr>
          <w:rFonts w:eastAsia="Calibri"/>
          <w:sz w:val="20"/>
          <w:szCs w:val="20"/>
          <w:lang w:val="en-US"/>
        </w:rPr>
        <w:t>d</w:t>
      </w:r>
      <w:r w:rsidRPr="00653F00">
        <w:rPr>
          <w:rFonts w:eastAsia="Calibri"/>
          <w:sz w:val="20"/>
          <w:szCs w:val="20"/>
          <w:lang w:val="uz-Cyrl-UZ"/>
        </w:rPr>
        <w:t xml:space="preserve"> - open</w:t>
      </w:r>
      <w:proofErr w:type="spellStart"/>
      <w:r w:rsidRPr="00653F00">
        <w:rPr>
          <w:rFonts w:eastAsia="Calibri"/>
          <w:sz w:val="20"/>
          <w:szCs w:val="20"/>
          <w:lang w:val="en-US"/>
        </w:rPr>
        <w:t>ed</w:t>
      </w:r>
      <w:proofErr w:type="spellEnd"/>
      <w:r w:rsidRPr="00653F00">
        <w:rPr>
          <w:rFonts w:eastAsia="Calibri"/>
          <w:sz w:val="20"/>
          <w:szCs w:val="20"/>
          <w:lang w:val="uz-Cyrl-UZ"/>
        </w:rPr>
        <w:t xml:space="preserve"> every day, the amount of savings at the end of the year </w:t>
      </w:r>
      <w:r w:rsidRPr="00653F00">
        <w:rPr>
          <w:rFonts w:eastAsia="Calibri"/>
          <w:sz w:val="20"/>
          <w:szCs w:val="20"/>
          <w:lang w:val="en-US"/>
        </w:rPr>
        <w:t xml:space="preserve">is </w:t>
      </w:r>
      <w:r w:rsidRPr="002463EA">
        <w:rPr>
          <w:rFonts w:eastAsia="Calibri"/>
          <w:noProof/>
          <w:position w:val="-28"/>
          <w:sz w:val="20"/>
          <w:szCs w:val="20"/>
        </w:rPr>
        <w:drawing>
          <wp:inline distT="0" distB="0" distL="0" distR="0">
            <wp:extent cx="1638300" cy="463550"/>
            <wp:effectExtent l="0" t="0" r="0" b="0"/>
            <wp:docPr id="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463550"/>
                    </a:xfrm>
                    <a:prstGeom prst="rect">
                      <a:avLst/>
                    </a:prstGeom>
                    <a:noFill/>
                    <a:ln>
                      <a:noFill/>
                    </a:ln>
                  </pic:spPr>
                </pic:pic>
              </a:graphicData>
            </a:graphic>
          </wp:inline>
        </w:drawing>
      </w:r>
      <w:r w:rsidRPr="00653F00">
        <w:rPr>
          <w:rFonts w:eastAsia="Calibri"/>
          <w:sz w:val="20"/>
          <w:szCs w:val="20"/>
          <w:lang w:val="uz-Cyrl-UZ"/>
        </w:rPr>
        <w:t>.</w:t>
      </w:r>
    </w:p>
    <w:p w:rsidR="002463EA" w:rsidRPr="00653F00" w:rsidRDefault="002463EA" w:rsidP="00E226A0">
      <w:pPr>
        <w:ind w:firstLine="397"/>
        <w:jc w:val="both"/>
        <w:rPr>
          <w:rFonts w:eastAsia="Calibri"/>
          <w:sz w:val="20"/>
          <w:szCs w:val="20"/>
          <w:lang w:val="uz-Cyrl-UZ"/>
        </w:rPr>
      </w:pPr>
      <w:r w:rsidRPr="00653F00">
        <w:rPr>
          <w:rFonts w:eastAsia="Calibri"/>
          <w:sz w:val="20"/>
          <w:szCs w:val="20"/>
          <w:lang w:val="uz-Cyrl-UZ"/>
        </w:rPr>
        <w:t xml:space="preserve">If the closing - the opening operation is made continuously (of course, theoretically), then at the end of the year the accumulations are equal </w:t>
      </w:r>
      <w:r w:rsidRPr="00653F00">
        <w:rPr>
          <w:rFonts w:eastAsia="Calibri"/>
          <w:sz w:val="20"/>
          <w:szCs w:val="20"/>
          <w:lang w:val="en-US"/>
        </w:rPr>
        <w:t>to</w:t>
      </w:r>
    </w:p>
    <w:p w:rsidR="002463EA" w:rsidRPr="00653F00" w:rsidRDefault="002463EA" w:rsidP="00E226A0">
      <w:pPr>
        <w:ind w:firstLine="397"/>
        <w:jc w:val="center"/>
        <w:rPr>
          <w:rFonts w:eastAsia="Calibri"/>
          <w:sz w:val="20"/>
          <w:szCs w:val="20"/>
          <w:lang w:val="uz-Cyrl-UZ"/>
        </w:rPr>
      </w:pPr>
      <w:r w:rsidRPr="002463EA">
        <w:rPr>
          <w:rFonts w:eastAsia="Calibri"/>
          <w:noProof/>
          <w:position w:val="-28"/>
          <w:sz w:val="20"/>
          <w:szCs w:val="20"/>
        </w:rPr>
        <w:drawing>
          <wp:inline distT="0" distB="0" distL="0" distR="0">
            <wp:extent cx="2724150" cy="463550"/>
            <wp:effectExtent l="0" t="0" r="0" b="0"/>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463550"/>
                    </a:xfrm>
                    <a:prstGeom prst="rect">
                      <a:avLst/>
                    </a:prstGeom>
                    <a:noFill/>
                    <a:ln>
                      <a:noFill/>
                    </a:ln>
                  </pic:spPr>
                </pic:pic>
              </a:graphicData>
            </a:graphic>
          </wp:inline>
        </w:drawing>
      </w:r>
      <w:r w:rsidRPr="00653F00">
        <w:rPr>
          <w:rFonts w:eastAsia="Calibri"/>
          <w:sz w:val="20"/>
          <w:szCs w:val="20"/>
          <w:lang w:val="uz-Cyrl-UZ"/>
        </w:rPr>
        <w:t>.</w:t>
      </w:r>
    </w:p>
    <w:p w:rsidR="002463EA" w:rsidRPr="00653F00" w:rsidRDefault="002463EA" w:rsidP="00E226A0">
      <w:pPr>
        <w:ind w:firstLine="397"/>
        <w:jc w:val="both"/>
        <w:rPr>
          <w:rFonts w:eastAsia="Calibri"/>
          <w:sz w:val="20"/>
          <w:szCs w:val="20"/>
          <w:lang w:val="uz-Cyrl-UZ"/>
        </w:rPr>
      </w:pPr>
      <w:r w:rsidRPr="00653F00">
        <w:rPr>
          <w:rFonts w:eastAsia="Calibri"/>
          <w:sz w:val="20"/>
          <w:szCs w:val="20"/>
          <w:lang w:val="uz-Cyrl-UZ"/>
        </w:rPr>
        <w:t>So, at a nominal 100% rate, the deposit may be 171 % .</w:t>
      </w:r>
    </w:p>
    <w:p w:rsidR="002463EA" w:rsidRPr="00653F00" w:rsidRDefault="002463EA" w:rsidP="00E226A0">
      <w:pPr>
        <w:ind w:firstLine="397"/>
        <w:jc w:val="both"/>
        <w:rPr>
          <w:rFonts w:eastAsia="Calibri"/>
          <w:sz w:val="20"/>
          <w:szCs w:val="20"/>
          <w:lang w:val="uz-Cyrl-UZ"/>
        </w:rPr>
      </w:pPr>
      <w:r w:rsidRPr="00653F00">
        <w:rPr>
          <w:rFonts w:eastAsia="Calibri"/>
          <w:sz w:val="20"/>
          <w:szCs w:val="20"/>
          <w:lang w:val="uz-Cyrl-UZ"/>
        </w:rPr>
        <w:t xml:space="preserve">The same reasoning can be repeated at the nominal bank rate </w:t>
      </w:r>
      <w:r w:rsidRPr="002463EA">
        <w:rPr>
          <w:rFonts w:eastAsia="Calibri"/>
          <w:noProof/>
          <w:position w:val="-10"/>
          <w:sz w:val="20"/>
          <w:szCs w:val="20"/>
        </w:rPr>
        <w:drawing>
          <wp:inline distT="0" distB="0" distL="0" distR="0">
            <wp:extent cx="279400" cy="209550"/>
            <wp:effectExtent l="0" t="0" r="0" b="0"/>
            <wp:docPr id="1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 cy="209550"/>
                    </a:xfrm>
                    <a:prstGeom prst="rect">
                      <a:avLst/>
                    </a:prstGeom>
                    <a:noFill/>
                    <a:ln>
                      <a:noFill/>
                    </a:ln>
                  </pic:spPr>
                </pic:pic>
              </a:graphicData>
            </a:graphic>
          </wp:inline>
        </w:drawing>
      </w:r>
      <w:r w:rsidRPr="00653F00">
        <w:rPr>
          <w:rFonts w:eastAsia="Calibri"/>
          <w:sz w:val="20"/>
          <w:szCs w:val="20"/>
          <w:lang w:val="uz-Cyrl-UZ"/>
        </w:rPr>
        <w:t>. Then the possible size of (theoretical) savings will be equal</w:t>
      </w:r>
      <w:r w:rsidRPr="00653F00">
        <w:rPr>
          <w:rFonts w:eastAsia="Calibri"/>
          <w:sz w:val="20"/>
          <w:szCs w:val="20"/>
          <w:lang w:val="en-US"/>
        </w:rPr>
        <w:t xml:space="preserve"> to</w:t>
      </w:r>
      <w:r w:rsidRPr="00653F00">
        <w:rPr>
          <w:rFonts w:eastAsia="Calibri"/>
          <w:sz w:val="20"/>
          <w:szCs w:val="20"/>
          <w:lang w:val="uz-Cyrl-UZ"/>
        </w:rPr>
        <w:t xml:space="preserve">   </w:t>
      </w:r>
    </w:p>
    <w:p w:rsidR="002463EA" w:rsidRPr="00653F00" w:rsidRDefault="002463EA" w:rsidP="00E226A0">
      <w:pPr>
        <w:ind w:firstLine="397"/>
        <w:jc w:val="both"/>
        <w:rPr>
          <w:rFonts w:eastAsia="Calibri"/>
          <w:sz w:val="20"/>
          <w:szCs w:val="20"/>
          <w:lang w:val="en-US"/>
        </w:rPr>
      </w:pPr>
      <w:r w:rsidRPr="00653F00">
        <w:rPr>
          <w:rFonts w:eastAsia="Calibri"/>
          <w:sz w:val="20"/>
          <w:szCs w:val="20"/>
          <w:lang w:val="uz-Cyrl-UZ"/>
        </w:rPr>
        <w:t xml:space="preserve">                 </w:t>
      </w:r>
      <w:r w:rsidRPr="002463EA">
        <w:rPr>
          <w:rFonts w:eastAsia="Calibri"/>
          <w:noProof/>
          <w:position w:val="-44"/>
          <w:sz w:val="20"/>
          <w:szCs w:val="20"/>
        </w:rPr>
        <w:drawing>
          <wp:inline distT="0" distB="0" distL="0" distR="0">
            <wp:extent cx="3327400" cy="704850"/>
            <wp:effectExtent l="0" t="0" r="0"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7400" cy="704850"/>
                    </a:xfrm>
                    <a:prstGeom prst="rect">
                      <a:avLst/>
                    </a:prstGeom>
                    <a:noFill/>
                    <a:ln>
                      <a:noFill/>
                    </a:ln>
                  </pic:spPr>
                </pic:pic>
              </a:graphicData>
            </a:graphic>
          </wp:inline>
        </w:drawing>
      </w:r>
    </w:p>
    <w:p w:rsidR="002463EA" w:rsidRPr="00653F00" w:rsidRDefault="002463EA" w:rsidP="00E226A0">
      <w:pPr>
        <w:ind w:firstLine="397"/>
        <w:jc w:val="both"/>
        <w:rPr>
          <w:rFonts w:eastAsia="Calibri"/>
          <w:sz w:val="20"/>
          <w:szCs w:val="20"/>
          <w:lang w:val="uz-Cyrl-UZ"/>
        </w:rPr>
      </w:pPr>
      <w:r w:rsidRPr="00653F00">
        <w:rPr>
          <w:rFonts w:eastAsia="Calibri"/>
          <w:sz w:val="20"/>
          <w:szCs w:val="20"/>
          <w:lang w:val="uz-Cyrl-UZ"/>
        </w:rPr>
        <w:t xml:space="preserve">In the more general case, let the capital </w:t>
      </w:r>
      <w:r w:rsidRPr="002463EA">
        <w:rPr>
          <w:rFonts w:eastAsia="Calibri"/>
          <w:noProof/>
          <w:position w:val="-12"/>
          <w:sz w:val="20"/>
          <w:szCs w:val="20"/>
        </w:rPr>
        <w:drawing>
          <wp:inline distT="0" distB="0" distL="0" distR="0">
            <wp:extent cx="190500" cy="215900"/>
            <wp:effectExtent l="0" t="0" r="0" b="0"/>
            <wp:docPr id="1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r w:rsidRPr="00653F00">
        <w:rPr>
          <w:rFonts w:eastAsia="Calibri"/>
          <w:sz w:val="20"/>
          <w:szCs w:val="20"/>
          <w:lang w:val="en-US"/>
        </w:rPr>
        <w:t xml:space="preserve"> is</w:t>
      </w:r>
      <w:r w:rsidRPr="00653F00">
        <w:rPr>
          <w:rFonts w:eastAsia="Calibri"/>
          <w:sz w:val="20"/>
          <w:szCs w:val="20"/>
          <w:lang w:val="uz-Cyrl-UZ"/>
        </w:rPr>
        <w:t xml:space="preserve"> invest</w:t>
      </w:r>
      <w:proofErr w:type="spellStart"/>
      <w:r w:rsidRPr="00653F00">
        <w:rPr>
          <w:rFonts w:eastAsia="Calibri"/>
          <w:sz w:val="20"/>
          <w:szCs w:val="20"/>
          <w:lang w:val="en-US"/>
        </w:rPr>
        <w:t>ed</w:t>
      </w:r>
      <w:proofErr w:type="spellEnd"/>
      <w:r w:rsidRPr="00653F00">
        <w:rPr>
          <w:rFonts w:eastAsia="Calibri"/>
          <w:sz w:val="20"/>
          <w:szCs w:val="20"/>
          <w:lang w:val="uz-Cyrl-UZ"/>
        </w:rPr>
        <w:t xml:space="preserve"> in the bank </w:t>
      </w:r>
      <w:r w:rsidRPr="00653F00">
        <w:rPr>
          <w:rFonts w:eastAsia="Calibri"/>
          <w:sz w:val="20"/>
          <w:szCs w:val="20"/>
          <w:lang w:val="en-US"/>
        </w:rPr>
        <w:t xml:space="preserve">by the </w:t>
      </w:r>
      <w:r w:rsidRPr="002463EA">
        <w:rPr>
          <w:rFonts w:eastAsia="Calibri"/>
          <w:noProof/>
          <w:position w:val="-10"/>
          <w:sz w:val="20"/>
          <w:szCs w:val="20"/>
        </w:rPr>
        <w:drawing>
          <wp:inline distT="0" distB="0" distL="0" distR="0">
            <wp:extent cx="279400" cy="209550"/>
            <wp:effectExtent l="0" t="0" r="0" b="0"/>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 cy="209550"/>
                    </a:xfrm>
                    <a:prstGeom prst="rect">
                      <a:avLst/>
                    </a:prstGeom>
                    <a:noFill/>
                    <a:ln>
                      <a:noFill/>
                    </a:ln>
                  </pic:spPr>
                </pic:pic>
              </a:graphicData>
            </a:graphic>
          </wp:inline>
        </w:drawing>
      </w:r>
      <w:r w:rsidRPr="00653F00">
        <w:rPr>
          <w:rFonts w:eastAsia="Calibri"/>
          <w:sz w:val="20"/>
          <w:szCs w:val="20"/>
          <w:lang w:val="en-US"/>
        </w:rPr>
        <w:t xml:space="preserve">rate </w:t>
      </w:r>
      <w:r w:rsidRPr="00653F00">
        <w:rPr>
          <w:rFonts w:eastAsia="Calibri"/>
          <w:sz w:val="20"/>
          <w:szCs w:val="20"/>
          <w:lang w:val="uz-Cyrl-UZ"/>
        </w:rPr>
        <w:t xml:space="preserve">not for a year, but for </w:t>
      </w:r>
      <w:r w:rsidRPr="00653F00">
        <w:rPr>
          <w:rFonts w:eastAsia="Calibri"/>
          <w:sz w:val="20"/>
          <w:szCs w:val="20"/>
          <w:lang w:val="en-US"/>
        </w:rPr>
        <w:t xml:space="preserve">t </w:t>
      </w:r>
      <w:r w:rsidRPr="00653F00">
        <w:rPr>
          <w:rFonts w:eastAsia="Calibri"/>
          <w:sz w:val="20"/>
          <w:szCs w:val="20"/>
          <w:lang w:val="uz-Cyrl-UZ"/>
        </w:rPr>
        <w:t>years</w:t>
      </w:r>
      <w:r w:rsidRPr="00653F00">
        <w:rPr>
          <w:rFonts w:eastAsia="Calibri"/>
          <w:sz w:val="20"/>
          <w:szCs w:val="20"/>
          <w:lang w:val="en-US"/>
        </w:rPr>
        <w:t>.</w:t>
      </w:r>
      <w:r w:rsidRPr="00653F00">
        <w:rPr>
          <w:rFonts w:eastAsia="Calibri"/>
          <w:sz w:val="20"/>
          <w:szCs w:val="20"/>
          <w:lang w:val="uz-Cyrl-UZ"/>
        </w:rPr>
        <w:t xml:space="preserve"> Dividing the time </w:t>
      </w:r>
      <w:r w:rsidRPr="00653F00">
        <w:rPr>
          <w:rFonts w:eastAsia="Calibri"/>
          <w:sz w:val="20"/>
          <w:szCs w:val="20"/>
          <w:lang w:val="en-US"/>
        </w:rPr>
        <w:t xml:space="preserve">interval </w:t>
      </w:r>
      <w:r w:rsidRPr="002463EA">
        <w:rPr>
          <w:rFonts w:eastAsia="Calibri"/>
          <w:noProof/>
          <w:position w:val="-10"/>
          <w:sz w:val="20"/>
          <w:szCs w:val="20"/>
        </w:rPr>
        <w:drawing>
          <wp:inline distT="0" distB="0" distL="0" distR="0">
            <wp:extent cx="330200" cy="222250"/>
            <wp:effectExtent l="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200" cy="222250"/>
                    </a:xfrm>
                    <a:prstGeom prst="rect">
                      <a:avLst/>
                    </a:prstGeom>
                    <a:noFill/>
                    <a:ln>
                      <a:noFill/>
                    </a:ln>
                  </pic:spPr>
                </pic:pic>
              </a:graphicData>
            </a:graphic>
          </wp:inline>
        </w:drawing>
      </w:r>
      <w:r w:rsidRPr="00653F00">
        <w:rPr>
          <w:rFonts w:eastAsia="Calibri"/>
          <w:sz w:val="20"/>
          <w:szCs w:val="20"/>
          <w:lang w:val="uz-Cyrl-UZ"/>
        </w:rPr>
        <w:t xml:space="preserve"> </w:t>
      </w:r>
      <w:r w:rsidRPr="00653F00">
        <w:rPr>
          <w:rFonts w:eastAsia="Calibri"/>
          <w:sz w:val="20"/>
          <w:szCs w:val="20"/>
          <w:lang w:val="en-US"/>
        </w:rPr>
        <w:t>on</w:t>
      </w:r>
      <w:r w:rsidRPr="00653F00">
        <w:rPr>
          <w:rFonts w:eastAsia="Calibri"/>
          <w:sz w:val="20"/>
          <w:szCs w:val="20"/>
          <w:lang w:val="uz-Cyrl-UZ"/>
        </w:rPr>
        <w:t xml:space="preserve"> </w:t>
      </w:r>
      <w:r w:rsidRPr="002463EA">
        <w:rPr>
          <w:rFonts w:eastAsia="Calibri"/>
          <w:noProof/>
          <w:position w:val="-6"/>
          <w:sz w:val="20"/>
          <w:szCs w:val="20"/>
        </w:rPr>
        <w:drawing>
          <wp:inline distT="0" distB="0" distL="0" distR="0">
            <wp:extent cx="171450" cy="177800"/>
            <wp:effectExtent l="0" t="0" r="0" b="0"/>
            <wp:docPr id="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77800"/>
                    </a:xfrm>
                    <a:prstGeom prst="rect">
                      <a:avLst/>
                    </a:prstGeom>
                    <a:noFill/>
                    <a:ln>
                      <a:noFill/>
                    </a:ln>
                  </pic:spPr>
                </pic:pic>
              </a:graphicData>
            </a:graphic>
          </wp:inline>
        </w:drawing>
      </w:r>
      <w:r w:rsidRPr="00653F00">
        <w:rPr>
          <w:rFonts w:eastAsia="Calibri"/>
          <w:sz w:val="20"/>
          <w:szCs w:val="20"/>
          <w:lang w:val="uz-Cyrl-UZ"/>
        </w:rPr>
        <w:t xml:space="preserve"> </w:t>
      </w:r>
      <w:r w:rsidRPr="00653F00">
        <w:rPr>
          <w:rFonts w:eastAsia="Calibri"/>
          <w:sz w:val="20"/>
          <w:szCs w:val="20"/>
          <w:lang w:val="en-US"/>
        </w:rPr>
        <w:t>parts and tending</w:t>
      </w:r>
      <w:r w:rsidRPr="00653F00">
        <w:rPr>
          <w:rFonts w:eastAsia="Calibri"/>
          <w:sz w:val="20"/>
          <w:szCs w:val="20"/>
          <w:lang w:val="uz-Cyrl-UZ"/>
        </w:rPr>
        <w:t xml:space="preserve"> </w:t>
      </w:r>
      <w:r w:rsidRPr="002463EA">
        <w:rPr>
          <w:rFonts w:eastAsia="Calibri"/>
          <w:noProof/>
          <w:position w:val="-6"/>
          <w:sz w:val="20"/>
          <w:szCs w:val="20"/>
        </w:rPr>
        <w:drawing>
          <wp:inline distT="0" distB="0" distL="0" distR="0">
            <wp:extent cx="171450" cy="177800"/>
            <wp:effectExtent l="0" t="0" r="0" b="0"/>
            <wp:docPr id="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77800"/>
                    </a:xfrm>
                    <a:prstGeom prst="rect">
                      <a:avLst/>
                    </a:prstGeom>
                    <a:noFill/>
                    <a:ln>
                      <a:noFill/>
                    </a:ln>
                  </pic:spPr>
                </pic:pic>
              </a:graphicData>
            </a:graphic>
          </wp:inline>
        </w:drawing>
      </w:r>
      <w:r w:rsidRPr="00653F00">
        <w:rPr>
          <w:rFonts w:eastAsia="Calibri"/>
          <w:sz w:val="20"/>
          <w:szCs w:val="20"/>
          <w:lang w:val="en-US"/>
        </w:rPr>
        <w:t>to infinity</w:t>
      </w:r>
      <w:r w:rsidRPr="00653F00">
        <w:rPr>
          <w:rFonts w:eastAsia="Calibri"/>
          <w:sz w:val="20"/>
          <w:szCs w:val="20"/>
          <w:lang w:val="uz-Cyrl-UZ"/>
        </w:rPr>
        <w:t xml:space="preserve">, we'll get a possible theoretical amount: </w:t>
      </w:r>
    </w:p>
    <w:p w:rsidR="002463EA" w:rsidRPr="00653F00" w:rsidRDefault="002463EA" w:rsidP="00E226A0">
      <w:pPr>
        <w:ind w:firstLine="397"/>
        <w:jc w:val="both"/>
        <w:rPr>
          <w:rFonts w:eastAsia="Calibri"/>
          <w:sz w:val="20"/>
          <w:szCs w:val="20"/>
          <w:lang w:val="uz-Cyrl-UZ"/>
        </w:rPr>
      </w:pPr>
    </w:p>
    <w:p w:rsidR="002463EA" w:rsidRPr="00653F00" w:rsidRDefault="002463EA" w:rsidP="00E226A0">
      <w:pPr>
        <w:ind w:firstLine="397"/>
        <w:jc w:val="center"/>
        <w:rPr>
          <w:rFonts w:eastAsia="Calibri"/>
          <w:sz w:val="20"/>
          <w:szCs w:val="20"/>
          <w:lang w:val="en-US"/>
        </w:rPr>
      </w:pPr>
      <w:r w:rsidRPr="002463EA">
        <w:rPr>
          <w:rFonts w:eastAsia="Calibri"/>
          <w:noProof/>
          <w:position w:val="-44"/>
          <w:sz w:val="20"/>
          <w:szCs w:val="20"/>
        </w:rPr>
        <w:drawing>
          <wp:inline distT="0" distB="0" distL="0" distR="0">
            <wp:extent cx="3397250" cy="615950"/>
            <wp:effectExtent l="0" t="0" r="0"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7250" cy="615950"/>
                    </a:xfrm>
                    <a:prstGeom prst="rect">
                      <a:avLst/>
                    </a:prstGeom>
                    <a:noFill/>
                    <a:ln>
                      <a:noFill/>
                    </a:ln>
                  </pic:spPr>
                </pic:pic>
              </a:graphicData>
            </a:graphic>
          </wp:inline>
        </w:drawing>
      </w:r>
    </w:p>
    <w:p w:rsidR="002463EA" w:rsidRPr="00653F00" w:rsidRDefault="002463EA" w:rsidP="00E226A0">
      <w:pPr>
        <w:ind w:firstLine="567"/>
        <w:jc w:val="center"/>
        <w:rPr>
          <w:rFonts w:eastAsia="Calibri"/>
          <w:sz w:val="20"/>
          <w:szCs w:val="20"/>
          <w:lang w:val="en-US"/>
        </w:rPr>
      </w:pPr>
    </w:p>
    <w:p w:rsidR="002463EA" w:rsidRPr="00653F00" w:rsidRDefault="002463EA" w:rsidP="00E226A0">
      <w:pPr>
        <w:ind w:firstLine="567"/>
        <w:jc w:val="both"/>
        <w:rPr>
          <w:rFonts w:eastAsia="Calibri"/>
          <w:sz w:val="20"/>
          <w:szCs w:val="20"/>
          <w:lang w:val="uz-Cyrl-UZ"/>
        </w:rPr>
      </w:pPr>
      <w:r w:rsidRPr="002463EA">
        <w:rPr>
          <w:rFonts w:eastAsia="Calibri"/>
          <w:noProof/>
          <w:position w:val="-12"/>
          <w:sz w:val="20"/>
          <w:szCs w:val="20"/>
        </w:rPr>
        <w:drawing>
          <wp:inline distT="0" distB="0" distL="0" distR="0">
            <wp:extent cx="666750" cy="349250"/>
            <wp:effectExtent l="0" t="0" r="0" b="0"/>
            <wp:docPr id="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349250"/>
                    </a:xfrm>
                    <a:prstGeom prst="rect">
                      <a:avLst/>
                    </a:prstGeom>
                    <a:noFill/>
                    <a:ln>
                      <a:noFill/>
                    </a:ln>
                  </pic:spPr>
                </pic:pic>
              </a:graphicData>
            </a:graphic>
          </wp:inline>
        </w:drawing>
      </w:r>
      <w:r w:rsidRPr="00653F00">
        <w:rPr>
          <w:rFonts w:eastAsia="Calibri"/>
          <w:sz w:val="20"/>
          <w:szCs w:val="20"/>
          <w:lang w:val="uz-Cyrl-UZ"/>
        </w:rPr>
        <w:t xml:space="preserve">-  </w:t>
      </w:r>
      <w:r w:rsidRPr="00653F00">
        <w:rPr>
          <w:rFonts w:eastAsia="Calibri"/>
          <w:sz w:val="20"/>
          <w:szCs w:val="20"/>
          <w:lang w:val="en-US"/>
        </w:rPr>
        <w:t xml:space="preserve">is </w:t>
      </w:r>
      <w:r w:rsidRPr="00653F00">
        <w:rPr>
          <w:rFonts w:eastAsia="Calibri"/>
          <w:sz w:val="20"/>
          <w:szCs w:val="20"/>
          <w:lang w:val="uz-Cyrl-UZ"/>
        </w:rPr>
        <w:t>called continuous interest formula.</w:t>
      </w:r>
    </w:p>
    <w:p w:rsidR="002463EA" w:rsidRPr="00653F00" w:rsidRDefault="002463EA" w:rsidP="00E226A0">
      <w:pPr>
        <w:ind w:firstLine="567"/>
        <w:jc w:val="both"/>
        <w:rPr>
          <w:rFonts w:eastAsia="Calibri"/>
          <w:sz w:val="20"/>
          <w:szCs w:val="20"/>
          <w:lang w:val="uz-Cyrl-UZ"/>
        </w:rPr>
      </w:pPr>
      <w:r w:rsidRPr="00653F00">
        <w:rPr>
          <w:rFonts w:eastAsia="Calibri"/>
          <w:sz w:val="20"/>
          <w:szCs w:val="20"/>
          <w:lang w:val="uz-Cyrl-UZ"/>
        </w:rPr>
        <w:t xml:space="preserve"> For example, at an annual rate </w:t>
      </w:r>
      <w:r w:rsidRPr="002463EA">
        <w:rPr>
          <w:rFonts w:eastAsia="Calibri"/>
          <w:noProof/>
          <w:position w:val="-10"/>
          <w:sz w:val="20"/>
          <w:szCs w:val="20"/>
        </w:rPr>
        <w:drawing>
          <wp:inline distT="0" distB="0" distL="0" distR="0">
            <wp:extent cx="641350" cy="209550"/>
            <wp:effectExtent l="0" t="0" r="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1350" cy="209550"/>
                    </a:xfrm>
                    <a:prstGeom prst="rect">
                      <a:avLst/>
                    </a:prstGeom>
                    <a:noFill/>
                    <a:ln>
                      <a:noFill/>
                    </a:ln>
                  </pic:spPr>
                </pic:pic>
              </a:graphicData>
            </a:graphic>
          </wp:inline>
        </w:drawing>
      </w:r>
      <w:r w:rsidRPr="00653F00">
        <w:rPr>
          <w:rFonts w:eastAsia="Calibri"/>
          <w:sz w:val="20"/>
          <w:szCs w:val="20"/>
          <w:lang w:val="uz-Cyrl-UZ"/>
        </w:rPr>
        <w:t xml:space="preserve"> at the end of the second year  </w:t>
      </w:r>
      <w:r w:rsidRPr="002463EA">
        <w:rPr>
          <w:rFonts w:eastAsia="Calibri"/>
          <w:noProof/>
          <w:position w:val="-10"/>
          <w:sz w:val="20"/>
          <w:szCs w:val="20"/>
        </w:rPr>
        <w:drawing>
          <wp:inline distT="0" distB="0" distL="0" distR="0">
            <wp:extent cx="400050" cy="222250"/>
            <wp:effectExtent l="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222250"/>
                    </a:xfrm>
                    <a:prstGeom prst="rect">
                      <a:avLst/>
                    </a:prstGeom>
                    <a:noFill/>
                    <a:ln>
                      <a:noFill/>
                    </a:ln>
                  </pic:spPr>
                </pic:pic>
              </a:graphicData>
            </a:graphic>
          </wp:inline>
        </w:drawing>
      </w:r>
      <w:r w:rsidRPr="00653F00">
        <w:rPr>
          <w:rFonts w:eastAsia="Calibri"/>
          <w:sz w:val="20"/>
          <w:szCs w:val="20"/>
          <w:lang w:val="uz-Cyrl-UZ"/>
        </w:rPr>
        <w:t xml:space="preserve">  </w:t>
      </w:r>
      <w:r w:rsidRPr="002463EA">
        <w:rPr>
          <w:rFonts w:eastAsia="Calibri"/>
          <w:noProof/>
          <w:position w:val="-12"/>
          <w:sz w:val="20"/>
          <w:szCs w:val="20"/>
        </w:rPr>
        <w:drawing>
          <wp:inline distT="0" distB="0" distL="0" distR="0">
            <wp:extent cx="1016000" cy="222250"/>
            <wp:effectExtent l="0" t="0" r="0" b="0"/>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6000" cy="222250"/>
                    </a:xfrm>
                    <a:prstGeom prst="rect">
                      <a:avLst/>
                    </a:prstGeom>
                    <a:noFill/>
                    <a:ln>
                      <a:noFill/>
                    </a:ln>
                  </pic:spPr>
                </pic:pic>
              </a:graphicData>
            </a:graphic>
          </wp:inline>
        </w:drawing>
      </w:r>
      <w:r w:rsidRPr="00653F00">
        <w:rPr>
          <w:rFonts w:eastAsia="Calibri"/>
          <w:sz w:val="20"/>
          <w:szCs w:val="20"/>
          <w:lang w:val="uz-Cyrl-UZ"/>
        </w:rPr>
        <w:t>, i.e. the initial contribution is growing more than seven times.</w:t>
      </w:r>
    </w:p>
    <w:p w:rsidR="002463EA" w:rsidRPr="00653F00" w:rsidRDefault="002463EA" w:rsidP="00E226A0">
      <w:pPr>
        <w:pStyle w:val="Default"/>
        <w:ind w:firstLine="708"/>
        <w:jc w:val="center"/>
        <w:rPr>
          <w:sz w:val="20"/>
          <w:szCs w:val="20"/>
          <w:lang w:val="uz-Cyrl-UZ"/>
        </w:rPr>
      </w:pPr>
    </w:p>
    <w:p w:rsidR="002463EA" w:rsidRDefault="002463EA" w:rsidP="00E226A0">
      <w:pPr>
        <w:ind w:firstLine="708"/>
        <w:rPr>
          <w:sz w:val="20"/>
          <w:szCs w:val="20"/>
          <w:lang w:val="en-US"/>
        </w:rPr>
      </w:pPr>
    </w:p>
    <w:p w:rsidR="002463EA" w:rsidRPr="002463EA" w:rsidRDefault="002463EA" w:rsidP="00E226A0">
      <w:pPr>
        <w:rPr>
          <w:b/>
          <w:sz w:val="20"/>
          <w:szCs w:val="20"/>
          <w:lang w:val="en-US"/>
        </w:rPr>
      </w:pPr>
      <w:r w:rsidRPr="002463EA">
        <w:rPr>
          <w:b/>
          <w:sz w:val="20"/>
          <w:szCs w:val="20"/>
          <w:lang w:val="en-US"/>
        </w:rPr>
        <w:t>References</w:t>
      </w:r>
    </w:p>
    <w:p w:rsidR="002463EA" w:rsidRPr="00653F00" w:rsidRDefault="002463EA" w:rsidP="00E226A0">
      <w:pPr>
        <w:pStyle w:val="af6"/>
        <w:numPr>
          <w:ilvl w:val="0"/>
          <w:numId w:val="11"/>
        </w:numPr>
        <w:spacing w:after="0" w:line="240" w:lineRule="auto"/>
        <w:ind w:left="0" w:hanging="284"/>
        <w:jc w:val="both"/>
        <w:rPr>
          <w:rFonts w:ascii="Times New Roman" w:hAnsi="Times New Roman"/>
          <w:sz w:val="20"/>
          <w:szCs w:val="20"/>
          <w:lang w:val="en-US"/>
        </w:rPr>
      </w:pPr>
      <w:r w:rsidRPr="00653F00">
        <w:rPr>
          <w:rFonts w:ascii="Times New Roman" w:hAnsi="Times New Roman"/>
          <w:sz w:val="20"/>
          <w:szCs w:val="20"/>
          <w:lang w:val="en-US"/>
        </w:rPr>
        <w:t xml:space="preserve">A decree of President of Uzbekistan </w:t>
      </w:r>
      <w:proofErr w:type="spellStart"/>
      <w:proofErr w:type="gramStart"/>
      <w:r w:rsidRPr="00653F00">
        <w:rPr>
          <w:rFonts w:ascii="Times New Roman" w:hAnsi="Times New Roman"/>
          <w:sz w:val="20"/>
          <w:szCs w:val="20"/>
          <w:lang w:val="en-US"/>
        </w:rPr>
        <w:t>Sh.Mirziyoyev</w:t>
      </w:r>
      <w:proofErr w:type="spellEnd"/>
      <w:proofErr w:type="gramEnd"/>
      <w:r w:rsidRPr="00653F00">
        <w:rPr>
          <w:rFonts w:ascii="Times New Roman" w:hAnsi="Times New Roman"/>
          <w:sz w:val="20"/>
          <w:szCs w:val="20"/>
          <w:lang w:val="en-US"/>
        </w:rPr>
        <w:t xml:space="preserve"> “On action strategy on further developing of Uzbekistan”, 7 February, 2017</w:t>
      </w:r>
    </w:p>
    <w:p w:rsidR="002463EA" w:rsidRPr="00653F00" w:rsidRDefault="002463EA" w:rsidP="00E226A0">
      <w:pPr>
        <w:pStyle w:val="af6"/>
        <w:numPr>
          <w:ilvl w:val="0"/>
          <w:numId w:val="11"/>
        </w:numPr>
        <w:spacing w:after="0" w:line="240" w:lineRule="auto"/>
        <w:ind w:left="0" w:hanging="284"/>
        <w:jc w:val="both"/>
        <w:rPr>
          <w:rFonts w:ascii="Times New Roman" w:hAnsi="Times New Roman"/>
          <w:sz w:val="20"/>
          <w:szCs w:val="20"/>
          <w:lang w:val="en-US"/>
        </w:rPr>
      </w:pPr>
      <w:proofErr w:type="spellStart"/>
      <w:r w:rsidRPr="00653F00">
        <w:rPr>
          <w:rFonts w:ascii="Times New Roman" w:hAnsi="Times New Roman"/>
          <w:sz w:val="20"/>
          <w:szCs w:val="20"/>
          <w:lang w:val="en-US"/>
        </w:rPr>
        <w:t>Parpieva</w:t>
      </w:r>
      <w:proofErr w:type="spellEnd"/>
      <w:r w:rsidRPr="00653F00">
        <w:rPr>
          <w:rFonts w:ascii="Times New Roman" w:hAnsi="Times New Roman"/>
          <w:sz w:val="20"/>
          <w:szCs w:val="20"/>
          <w:lang w:val="en-US"/>
        </w:rPr>
        <w:t xml:space="preserve">, N., </w:t>
      </w:r>
      <w:proofErr w:type="spellStart"/>
      <w:r w:rsidRPr="00653F00">
        <w:rPr>
          <w:rFonts w:ascii="Times New Roman" w:hAnsi="Times New Roman"/>
          <w:sz w:val="20"/>
          <w:szCs w:val="20"/>
          <w:lang w:val="en-US"/>
        </w:rPr>
        <w:t>Yakubova</w:t>
      </w:r>
      <w:proofErr w:type="spellEnd"/>
      <w:r w:rsidRPr="00653F00">
        <w:rPr>
          <w:rFonts w:ascii="Times New Roman" w:hAnsi="Times New Roman"/>
          <w:sz w:val="20"/>
          <w:szCs w:val="20"/>
          <w:lang w:val="en-US"/>
        </w:rPr>
        <w:t xml:space="preserve">, U., &amp; </w:t>
      </w:r>
      <w:proofErr w:type="spellStart"/>
      <w:r w:rsidRPr="00653F00">
        <w:rPr>
          <w:rFonts w:ascii="Times New Roman" w:hAnsi="Times New Roman"/>
          <w:sz w:val="20"/>
          <w:szCs w:val="20"/>
          <w:lang w:val="en-US"/>
        </w:rPr>
        <w:t>Mirkhodjaeva</w:t>
      </w:r>
      <w:proofErr w:type="spellEnd"/>
      <w:r w:rsidRPr="00653F00">
        <w:rPr>
          <w:rFonts w:ascii="Times New Roman" w:hAnsi="Times New Roman"/>
          <w:sz w:val="20"/>
          <w:szCs w:val="20"/>
          <w:lang w:val="en-US"/>
        </w:rPr>
        <w:t xml:space="preserve">, N. (2020). The Relevance of Integration of Modern Digital Technologies in Teaching Mathematics. </w:t>
      </w:r>
      <w:proofErr w:type="spellStart"/>
      <w:r w:rsidRPr="00653F00">
        <w:rPr>
          <w:rFonts w:ascii="Times New Roman" w:hAnsi="Times New Roman"/>
          <w:i/>
          <w:iCs/>
          <w:sz w:val="20"/>
          <w:szCs w:val="20"/>
        </w:rPr>
        <w:t>Bulletin</w:t>
      </w:r>
      <w:proofErr w:type="spellEnd"/>
      <w:r w:rsidRPr="00653F00">
        <w:rPr>
          <w:rFonts w:ascii="Times New Roman" w:hAnsi="Times New Roman"/>
          <w:i/>
          <w:iCs/>
          <w:sz w:val="20"/>
          <w:szCs w:val="20"/>
        </w:rPr>
        <w:t xml:space="preserve"> </w:t>
      </w:r>
      <w:proofErr w:type="spellStart"/>
      <w:r w:rsidRPr="00653F00">
        <w:rPr>
          <w:rFonts w:ascii="Times New Roman" w:hAnsi="Times New Roman"/>
          <w:i/>
          <w:iCs/>
          <w:sz w:val="20"/>
          <w:szCs w:val="20"/>
        </w:rPr>
        <w:t>of</w:t>
      </w:r>
      <w:proofErr w:type="spellEnd"/>
      <w:r w:rsidRPr="00653F00">
        <w:rPr>
          <w:rFonts w:ascii="Times New Roman" w:hAnsi="Times New Roman"/>
          <w:i/>
          <w:iCs/>
          <w:sz w:val="20"/>
          <w:szCs w:val="20"/>
        </w:rPr>
        <w:t xml:space="preserve"> </w:t>
      </w:r>
      <w:proofErr w:type="spellStart"/>
      <w:r w:rsidRPr="00653F00">
        <w:rPr>
          <w:rFonts w:ascii="Times New Roman" w:hAnsi="Times New Roman"/>
          <w:i/>
          <w:iCs/>
          <w:sz w:val="20"/>
          <w:szCs w:val="20"/>
        </w:rPr>
        <w:t>Science</w:t>
      </w:r>
      <w:proofErr w:type="spellEnd"/>
      <w:r w:rsidRPr="00653F00">
        <w:rPr>
          <w:rFonts w:ascii="Times New Roman" w:hAnsi="Times New Roman"/>
          <w:i/>
          <w:iCs/>
          <w:sz w:val="20"/>
          <w:szCs w:val="20"/>
        </w:rPr>
        <w:t xml:space="preserve"> </w:t>
      </w:r>
      <w:proofErr w:type="spellStart"/>
      <w:r w:rsidRPr="00653F00">
        <w:rPr>
          <w:rFonts w:ascii="Times New Roman" w:hAnsi="Times New Roman"/>
          <w:i/>
          <w:iCs/>
          <w:sz w:val="20"/>
          <w:szCs w:val="20"/>
        </w:rPr>
        <w:t>and</w:t>
      </w:r>
      <w:proofErr w:type="spellEnd"/>
      <w:r w:rsidRPr="00653F00">
        <w:rPr>
          <w:rFonts w:ascii="Times New Roman" w:hAnsi="Times New Roman"/>
          <w:i/>
          <w:iCs/>
          <w:sz w:val="20"/>
          <w:szCs w:val="20"/>
        </w:rPr>
        <w:t xml:space="preserve"> </w:t>
      </w:r>
      <w:proofErr w:type="spellStart"/>
      <w:r w:rsidRPr="00653F00">
        <w:rPr>
          <w:rFonts w:ascii="Times New Roman" w:hAnsi="Times New Roman"/>
          <w:i/>
          <w:iCs/>
          <w:sz w:val="20"/>
          <w:szCs w:val="20"/>
        </w:rPr>
        <w:t>Practice</w:t>
      </w:r>
      <w:proofErr w:type="spellEnd"/>
      <w:r w:rsidRPr="00653F00">
        <w:rPr>
          <w:rFonts w:ascii="Times New Roman" w:hAnsi="Times New Roman"/>
          <w:i/>
          <w:iCs/>
          <w:sz w:val="20"/>
          <w:szCs w:val="20"/>
        </w:rPr>
        <w:t>, 6</w:t>
      </w:r>
      <w:r w:rsidRPr="00653F00">
        <w:rPr>
          <w:rFonts w:ascii="Times New Roman" w:hAnsi="Times New Roman"/>
          <w:sz w:val="20"/>
          <w:szCs w:val="20"/>
        </w:rPr>
        <w:t>(4), 438-443. https://doi.org/10.33619/2414-2948/53/51</w:t>
      </w:r>
    </w:p>
    <w:p w:rsidR="002463EA" w:rsidRPr="00653F00" w:rsidRDefault="002463EA" w:rsidP="00E226A0">
      <w:pPr>
        <w:pStyle w:val="af6"/>
        <w:numPr>
          <w:ilvl w:val="0"/>
          <w:numId w:val="11"/>
        </w:numPr>
        <w:spacing w:after="0" w:line="240" w:lineRule="auto"/>
        <w:ind w:left="0" w:hanging="284"/>
        <w:jc w:val="both"/>
        <w:rPr>
          <w:rFonts w:ascii="Times New Roman" w:hAnsi="Times New Roman"/>
          <w:sz w:val="20"/>
          <w:szCs w:val="20"/>
          <w:lang w:val="en-US"/>
        </w:rPr>
      </w:pPr>
      <w:r w:rsidRPr="00653F00">
        <w:rPr>
          <w:rFonts w:ascii="Times New Roman" w:hAnsi="Times New Roman"/>
          <w:sz w:val="20"/>
          <w:szCs w:val="20"/>
          <w:lang w:val="en-US"/>
        </w:rPr>
        <w:t>Mike Rosser. Basic mathematics for economists. Routledge, 2003.</w:t>
      </w:r>
    </w:p>
    <w:p w:rsidR="002463EA" w:rsidRPr="00653F00" w:rsidRDefault="002463EA" w:rsidP="00E226A0">
      <w:pPr>
        <w:rPr>
          <w:sz w:val="20"/>
          <w:szCs w:val="20"/>
        </w:rPr>
      </w:pPr>
    </w:p>
    <w:p w:rsidR="002463EA" w:rsidRPr="004F2EEB" w:rsidRDefault="002463EA" w:rsidP="00E226A0">
      <w:pPr>
        <w:pStyle w:val="ad"/>
      </w:pPr>
    </w:p>
    <w:sectPr w:rsidR="002463EA"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B930221"/>
    <w:multiLevelType w:val="hybridMultilevel"/>
    <w:tmpl w:val="2E608000"/>
    <w:lvl w:ilvl="0" w:tplc="651A25A2">
      <w:start w:val="1"/>
      <w:numFmt w:val="decimal"/>
      <w:lvlText w:val="%1."/>
      <w:lvlJc w:val="left"/>
      <w:pPr>
        <w:ind w:left="1068" w:hanging="360"/>
      </w:pPr>
      <w:rPr>
        <w:rFonts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9"/>
  </w:num>
  <w:num w:numId="7">
    <w:abstractNumId w:val="3"/>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EA"/>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91C"/>
    <w:rsid w:val="00167BFB"/>
    <w:rsid w:val="0017325A"/>
    <w:rsid w:val="00185FA2"/>
    <w:rsid w:val="00192E5A"/>
    <w:rsid w:val="001A1639"/>
    <w:rsid w:val="001C3721"/>
    <w:rsid w:val="001D0EB7"/>
    <w:rsid w:val="001F29D3"/>
    <w:rsid w:val="00205BB1"/>
    <w:rsid w:val="00210C3E"/>
    <w:rsid w:val="002201B2"/>
    <w:rsid w:val="00220BDE"/>
    <w:rsid w:val="00245FEB"/>
    <w:rsid w:val="002463EA"/>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7F1659"/>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26A0"/>
    <w:rsid w:val="00E26FC5"/>
    <w:rsid w:val="00E3637A"/>
    <w:rsid w:val="00E51596"/>
    <w:rsid w:val="00E660BD"/>
    <w:rsid w:val="00E669D4"/>
    <w:rsid w:val="00E82FCE"/>
    <w:rsid w:val="00EB2E72"/>
    <w:rsid w:val="00EB64AE"/>
    <w:rsid w:val="00EB73EF"/>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B4E5C"/>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9B4CB"/>
  <w15:chartTrackingRefBased/>
  <w15:docId w15:val="{D11F96ED-D3E6-4B1C-973D-792AE397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List Paragraph"/>
    <w:basedOn w:val="a2"/>
    <w:uiPriority w:val="34"/>
    <w:qFormat/>
    <w:rsid w:val="002463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463EA"/>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hyperlink" Target="mailto:muxamedovagulchehra74@gmail.com" TargetMode="Externa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hyperlink" Target="mailto:muxamedovagulchehra74@gmail.com" TargetMode="External"/><Relationship Id="rId15" Type="http://schemas.openxmlformats.org/officeDocument/2006/relationships/image" Target="media/image9.wm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1064;&#1072;&#1073;&#1083;&#1086;&#1085;_&#1089;&#1090;&#1072;&#1090;&#1100;&#1080;%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 (3)</Template>
  <TotalTime>15</TotalTime>
  <Pages>4</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hp</dc:creator>
  <cp:keywords/>
  <dc:description/>
  <cp:lastModifiedBy>hp</cp:lastModifiedBy>
  <cp:revision>9</cp:revision>
  <cp:lastPrinted>1899-12-31T19:00:00Z</cp:lastPrinted>
  <dcterms:created xsi:type="dcterms:W3CDTF">2021-05-16T15:45:00Z</dcterms:created>
  <dcterms:modified xsi:type="dcterms:W3CDTF">2021-05-16T16:33:00Z</dcterms:modified>
</cp:coreProperties>
</file>