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EB" w:rsidRDefault="00165FAE" w:rsidP="004F2EEB">
      <w:pPr>
        <w:pStyle w:val="a8"/>
      </w:pPr>
      <w:r>
        <w:t>Романова Е. В.</w:t>
      </w:r>
    </w:p>
    <w:p w:rsidR="00C95923" w:rsidRPr="004F2EEB" w:rsidRDefault="00C95923" w:rsidP="004F2EEB">
      <w:pPr>
        <w:pStyle w:val="a8"/>
      </w:pPr>
      <w:proofErr w:type="spellStart"/>
      <w:r>
        <w:t>Бельчусов</w:t>
      </w:r>
      <w:proofErr w:type="spellEnd"/>
      <w:r>
        <w:t xml:space="preserve"> А.А., канд. </w:t>
      </w:r>
      <w:proofErr w:type="spellStart"/>
      <w:r>
        <w:t>техн</w:t>
      </w:r>
      <w:proofErr w:type="spellEnd"/>
      <w:r>
        <w:t>. наук, доцент</w:t>
      </w:r>
    </w:p>
    <w:p w:rsidR="004F2EEB" w:rsidRDefault="00165FAE" w:rsidP="004F2EEB">
      <w:pPr>
        <w:pStyle w:val="a9"/>
      </w:pPr>
      <w:r>
        <w:t>ОСОБЕННОСТИ КОММУНИКАЦИОННОЙ ДЕЯТЕЛЬНОСТИ В СФЕРЕ ДОПОЛНИТЕЛЬНОГО ОБРАЗОВАНИЯ</w:t>
      </w:r>
    </w:p>
    <w:p w:rsidR="004F2EEB" w:rsidRPr="004F2EEB" w:rsidRDefault="004F2EEB" w:rsidP="004F2EEB">
      <w:pPr>
        <w:pStyle w:val="ad"/>
      </w:pPr>
    </w:p>
    <w:p w:rsidR="004F2EEB" w:rsidRPr="004F2EEB" w:rsidRDefault="004F2EEB" w:rsidP="004F2EEB">
      <w:pPr>
        <w:pStyle w:val="af1"/>
      </w:pPr>
      <w:r w:rsidRPr="004F2EEB">
        <w:t xml:space="preserve">Федеральное государственное бюджетное образовательное учреждение высшего профессионального образования «Чувашский государственный педагогический университет им. И. Я. Яковлева», Чувашская </w:t>
      </w:r>
      <w:r w:rsidR="00165FAE">
        <w:t>Республика, г. Чебоксары, lipenc</w:t>
      </w:r>
      <w:r w:rsidRPr="004F2EEB">
        <w:t>@mail.ru</w:t>
      </w:r>
    </w:p>
    <w:p w:rsidR="004F2EEB" w:rsidRPr="004F2EEB" w:rsidRDefault="004F2EEB" w:rsidP="004F2EEB">
      <w:pPr>
        <w:pStyle w:val="ad"/>
      </w:pPr>
    </w:p>
    <w:p w:rsidR="000A1C5F" w:rsidRDefault="00165FAE" w:rsidP="000A1C5F">
      <w:pPr>
        <w:pStyle w:val="a8"/>
        <w:rPr>
          <w:lang w:val="en-US"/>
        </w:rPr>
      </w:pPr>
      <w:r>
        <w:rPr>
          <w:lang w:val="en-US"/>
        </w:rPr>
        <w:t>Romanova E. V.</w:t>
      </w:r>
    </w:p>
    <w:p w:rsidR="00C95923" w:rsidRPr="00C95923" w:rsidRDefault="00C95923" w:rsidP="00C95923">
      <w:pPr>
        <w:pStyle w:val="a8"/>
        <w:rPr>
          <w:lang w:val="en-US"/>
        </w:rPr>
      </w:pPr>
      <w:proofErr w:type="spellStart"/>
      <w:r w:rsidRPr="00C95923">
        <w:rPr>
          <w:lang w:val="en-US"/>
        </w:rPr>
        <w:t>Belchus</w:t>
      </w:r>
      <w:r>
        <w:rPr>
          <w:lang w:val="en-US"/>
        </w:rPr>
        <w:t>ov</w:t>
      </w:r>
      <w:proofErr w:type="spellEnd"/>
      <w:r>
        <w:rPr>
          <w:lang w:val="en-US"/>
        </w:rPr>
        <w:t xml:space="preserve"> A. A</w:t>
      </w:r>
      <w:r w:rsidRPr="00C95923">
        <w:rPr>
          <w:lang w:val="en-US"/>
        </w:rPr>
        <w:t xml:space="preserve">., </w:t>
      </w:r>
      <w:r w:rsidRPr="00C95923">
        <w:rPr>
          <w:lang w:val="en-US"/>
        </w:rPr>
        <w:t>Ph.D. in Technology</w:t>
      </w:r>
      <w:r w:rsidRPr="00C95923">
        <w:rPr>
          <w:lang w:val="en-US"/>
        </w:rPr>
        <w:t xml:space="preserve">, </w:t>
      </w:r>
      <w:r w:rsidRPr="00C95923">
        <w:rPr>
          <w:lang w:val="en-US"/>
        </w:rPr>
        <w:t>Associate Professor</w:t>
      </w:r>
    </w:p>
    <w:p w:rsidR="00C95923" w:rsidRPr="00165FAE" w:rsidRDefault="00C95923" w:rsidP="000A1C5F">
      <w:pPr>
        <w:pStyle w:val="a8"/>
        <w:rPr>
          <w:lang w:val="en-US"/>
        </w:rPr>
      </w:pPr>
    </w:p>
    <w:p w:rsidR="00165FAE" w:rsidRPr="00C95923" w:rsidRDefault="00165FAE" w:rsidP="00165FAE">
      <w:pPr>
        <w:pStyle w:val="a9"/>
        <w:rPr>
          <w:lang w:val="en-US"/>
        </w:rPr>
      </w:pPr>
      <w:r w:rsidRPr="00C95923">
        <w:rPr>
          <w:lang w:val="en-US"/>
        </w:rPr>
        <w:t>FEATURES OF COMMUNICATION ACTIVITIES IN THE FIELD OF ADDITIONAL EDUCATION</w:t>
      </w:r>
    </w:p>
    <w:p w:rsidR="000A1C5F" w:rsidRPr="000A1C5F" w:rsidRDefault="000A1C5F" w:rsidP="004F2EEB">
      <w:pPr>
        <w:pStyle w:val="ad"/>
        <w:rPr>
          <w:lang w:val="en-US"/>
        </w:rPr>
      </w:pPr>
    </w:p>
    <w:p w:rsidR="004F2EEB" w:rsidRPr="004F2EEB" w:rsidRDefault="004F2EEB" w:rsidP="000A1C5F">
      <w:pPr>
        <w:pStyle w:val="af1"/>
        <w:rPr>
          <w:lang w:val="en-US"/>
        </w:rPr>
      </w:pPr>
      <w:r w:rsidRPr="004F2EEB">
        <w:rPr>
          <w:lang w:val="en-US"/>
        </w:rPr>
        <w:t xml:space="preserve">Chuvash state pedagogical University. I. </w:t>
      </w:r>
      <w:proofErr w:type="spellStart"/>
      <w:r w:rsidRPr="004F2EEB">
        <w:rPr>
          <w:lang w:val="en-US"/>
        </w:rPr>
        <w:t>Ya</w:t>
      </w:r>
      <w:proofErr w:type="spellEnd"/>
      <w:r w:rsidRPr="004F2EEB">
        <w:rPr>
          <w:lang w:val="en-US"/>
        </w:rPr>
        <w:t xml:space="preserve">. </w:t>
      </w:r>
      <w:proofErr w:type="spellStart"/>
      <w:r w:rsidRPr="004F2EEB">
        <w:rPr>
          <w:lang w:val="en-US"/>
        </w:rPr>
        <w:t>Yakovleva</w:t>
      </w:r>
      <w:proofErr w:type="spellEnd"/>
      <w:r w:rsidRPr="004F2EEB">
        <w:rPr>
          <w:lang w:val="en-US"/>
        </w:rPr>
        <w:t>, Chu</w:t>
      </w:r>
      <w:r w:rsidR="00165FAE">
        <w:rPr>
          <w:lang w:val="en-US"/>
        </w:rPr>
        <w:t>vash Republic, Cheboksary, lipenc</w:t>
      </w:r>
      <w:r w:rsidRPr="004F2EEB">
        <w:rPr>
          <w:lang w:val="en-US"/>
        </w:rPr>
        <w:t>@mail.ru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4F2EEB" w:rsidRPr="004F2EEB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 xml:space="preserve">В статье автор </w:t>
      </w:r>
      <w:r w:rsidR="006A630E">
        <w:t>раскрывает понятия коммуникационной деятельности в сфере дополнительного образования, приводит модель коммуникационного процесса в образовательном учреждении</w:t>
      </w:r>
    </w:p>
    <w:p w:rsidR="004F2EEB" w:rsidRDefault="004F2EEB" w:rsidP="004F2EEB">
      <w:pPr>
        <w:pStyle w:val="ad"/>
      </w:pPr>
    </w:p>
    <w:p w:rsidR="006A630E" w:rsidRPr="006A630E" w:rsidRDefault="004F2EEB" w:rsidP="006A630E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6A630E" w:rsidRPr="006A630E">
        <w:rPr>
          <w:lang w:val="en-US"/>
        </w:rPr>
        <w:t>In the article, the author reveals the concepts of communication activities in the field of additional education, gives a model of the communication process in an educational institution</w:t>
      </w:r>
    </w:p>
    <w:p w:rsidR="004F2EEB" w:rsidRPr="004F2EEB" w:rsidRDefault="004F2EEB" w:rsidP="006A630E">
      <w:pPr>
        <w:pStyle w:val="ad"/>
        <w:ind w:firstLine="0"/>
        <w:rPr>
          <w:lang w:val="en-US"/>
        </w:rPr>
      </w:pPr>
    </w:p>
    <w:p w:rsidR="004F2EEB" w:rsidRDefault="006A630E" w:rsidP="000A1C5F">
      <w:pPr>
        <w:pStyle w:val="ac"/>
      </w:pPr>
      <w:r>
        <w:t>Ключевые слова: коммуникация, коммуникационная деятельность, дополнительное образование, модель коммуникационного процесса</w:t>
      </w:r>
      <w:r w:rsidR="004F2EEB" w:rsidRPr="004F2EEB">
        <w:t>.</w:t>
      </w:r>
    </w:p>
    <w:p w:rsidR="000A1C5F" w:rsidRPr="004F2EEB" w:rsidRDefault="000A1C5F" w:rsidP="004F2EEB">
      <w:pPr>
        <w:pStyle w:val="ad"/>
      </w:pPr>
    </w:p>
    <w:p w:rsidR="006A630E" w:rsidRPr="006A630E" w:rsidRDefault="004F2EEB" w:rsidP="006A630E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6A630E" w:rsidRPr="006A630E">
        <w:rPr>
          <w:lang w:val="en-US"/>
        </w:rPr>
        <w:t>communication, communication activity, additional education, communication process model.</w:t>
      </w:r>
    </w:p>
    <w:p w:rsidR="004F2EEB" w:rsidRPr="004F2EEB" w:rsidRDefault="004F2EEB" w:rsidP="006A630E">
      <w:pPr>
        <w:pStyle w:val="ad"/>
        <w:ind w:firstLine="0"/>
        <w:rPr>
          <w:lang w:val="en-US"/>
        </w:rPr>
      </w:pPr>
    </w:p>
    <w:p w:rsidR="00165FAE" w:rsidRPr="00391D70" w:rsidRDefault="00165FAE" w:rsidP="00165FAE">
      <w:pPr>
        <w:pStyle w:val="ad"/>
      </w:pPr>
      <w:r w:rsidRPr="00391D70">
        <w:t xml:space="preserve">Коммуникационная деятельность – совокупность определенных действий, направленных на создание и размещение рекламных или иных сообщений с целью поддержания позитивного имиджа компании и привлечения клиентов. </w:t>
      </w:r>
    </w:p>
    <w:p w:rsidR="00165FAE" w:rsidRPr="00A000D9" w:rsidRDefault="00165FAE" w:rsidP="00165FAE">
      <w:pPr>
        <w:pStyle w:val="ad"/>
      </w:pPr>
      <w:r w:rsidRPr="00391D70">
        <w:t xml:space="preserve">«Коммуникация - это процесс, в ходе которого два или более лица стараются сознательно или несознательно повлиять друг на друга с помощью использования символов. В процессе коммуникации два или более 7 участников одновременно </w:t>
      </w:r>
      <w:r w:rsidRPr="00391D70">
        <w:lastRenderedPageBreak/>
        <w:t>выступают в качестве отправителя и получателя, которые кодируют и дешифруют сообщение, а также налаживают обратную связь»</w:t>
      </w:r>
      <w:r>
        <w:rPr>
          <w:rStyle w:val="af8"/>
        </w:rPr>
        <w:footnoteReference w:id="1"/>
      </w:r>
      <w:r w:rsidRPr="00391D70">
        <w:t xml:space="preserve"> </w:t>
      </w:r>
      <w:r w:rsidRPr="00391D70">
        <w:t xml:space="preserve">Если рассматривать понятие коммуникации в широком значении, по мнению Д. </w:t>
      </w:r>
      <w:proofErr w:type="spellStart"/>
      <w:r w:rsidRPr="00391D70">
        <w:t>Мацумото</w:t>
      </w:r>
      <w:proofErr w:type="spellEnd"/>
      <w:r w:rsidRPr="00391D70">
        <w:t>, это - «обмен знаниями, идеями, мыслями, понятиями, происходящий между людьми»</w:t>
      </w:r>
      <w:r>
        <w:t>.</w:t>
      </w:r>
    </w:p>
    <w:p w:rsidR="00165FAE" w:rsidRPr="00165FAE" w:rsidRDefault="00165FAE" w:rsidP="00165FAE">
      <w:pPr>
        <w:pStyle w:val="ad"/>
      </w:pPr>
      <w:r w:rsidRPr="00391D70">
        <w:t xml:space="preserve">Очень интересное объяснение понятию дал американский социальный психолог Ч. Кули. Он считал, что коммуникации - это «механизм, посредством которого становятся возможными существование и развитие человеческих отношений - все символы разума вместе со способами их передачи в пространстве и сохранения во времени. Она включает в себя мимику, жесты, общение, тон голоса, слова, письменность, печать, железные дороги, телеграф, телефон и самые последние достижения по завоеванию пространства и времени. Четкой границы между средствами коммуникации и остальным внешним миром не существует. Однако вместе с рождением внешнего мира появляется система стандартных символов, предназначенная только для передачи мыслей, с нее начинается традиционное развитие коммуникации» </w:t>
      </w:r>
      <w:r>
        <w:rPr>
          <w:rStyle w:val="af8"/>
        </w:rPr>
        <w:footnoteReference w:id="2"/>
      </w:r>
    </w:p>
    <w:p w:rsidR="00165FAE" w:rsidRPr="00391D70" w:rsidRDefault="00165FAE" w:rsidP="00165FAE">
      <w:pPr>
        <w:pStyle w:val="ad"/>
      </w:pPr>
      <w:r w:rsidRPr="00391D70">
        <w:t>В условиях рыночной экономики деятельность системы дополнительного образования, обеспечивающая повышение интеллектуально-культурного потенциала общества, выступает как образовательная услуга, принимающая товарную форму, следовательно, имеющая потребительскую стоимость и цену.  В качестве продавцов выступают учреждения дополнительного образования.</w:t>
      </w:r>
    </w:p>
    <w:p w:rsidR="00165FAE" w:rsidRPr="00391D70" w:rsidRDefault="00165FAE" w:rsidP="00165FAE">
      <w:pPr>
        <w:pStyle w:val="ad"/>
      </w:pPr>
      <w:r w:rsidRPr="00391D70">
        <w:t>Учреждение дополнительного образования детей — тип образовательного учреждения в Российской Федерации, основная цель которого — развитие мотивации личности к познанию и творчеству, реализация дополнительных образовательных программ и услуг в интересах личности, общества, государства.</w:t>
      </w:r>
    </w:p>
    <w:p w:rsidR="00165FAE" w:rsidRPr="00391D70" w:rsidRDefault="00165FAE" w:rsidP="00165FAE">
      <w:pPr>
        <w:pStyle w:val="ad"/>
      </w:pPr>
      <w:r w:rsidRPr="00391D70">
        <w:t xml:space="preserve">Дополнительное образование детей — составная часть общего образования, </w:t>
      </w:r>
      <w:proofErr w:type="spellStart"/>
      <w:r w:rsidRPr="00391D70">
        <w:t>сущностно</w:t>
      </w:r>
      <w:proofErr w:type="spellEnd"/>
      <w:r w:rsidRPr="00391D70">
        <w:t xml:space="preserve">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 Многими исследователями дополнительное образование детей понимается как </w:t>
      </w:r>
      <w:r w:rsidRPr="00391D70">
        <w:lastRenderedPageBreak/>
        <w:t>целенаправленный процесс воспитания и обучения посредством реализации дополнительных образовательных программ. Появление такого термина как «дополнительное образование детей» связано с принятием Закона РФ «Об образовании» в 1992 году.</w:t>
      </w:r>
    </w:p>
    <w:p w:rsidR="00DD7B11" w:rsidRDefault="00165FAE" w:rsidP="00DD7B11">
      <w:pPr>
        <w:pStyle w:val="ad"/>
        <w:ind w:left="397" w:firstLine="0"/>
      </w:pPr>
      <w:r w:rsidRPr="00391D70">
        <w:t xml:space="preserve">Основные задачи </w:t>
      </w:r>
      <w:r w:rsidR="00DD7B11">
        <w:t>таких учреждений заключаются:</w:t>
      </w:r>
    </w:p>
    <w:p w:rsidR="00DD7B11" w:rsidRDefault="00165FAE" w:rsidP="00DD7B11">
      <w:pPr>
        <w:pStyle w:val="ad"/>
        <w:numPr>
          <w:ilvl w:val="0"/>
          <w:numId w:val="21"/>
        </w:numPr>
      </w:pPr>
      <w:r w:rsidRPr="00391D70">
        <w:t>обеспечение необходимых условий для личностного развития, укрепления здоровья, профессионального самоопределения и творческого труда детей в возрасте пр</w:t>
      </w:r>
      <w:r w:rsidR="00DD7B11">
        <w:t>еимущественно от 6 до 18 лет;</w:t>
      </w:r>
    </w:p>
    <w:p w:rsidR="00DD7B11" w:rsidRDefault="00165FAE" w:rsidP="00DD7B11">
      <w:pPr>
        <w:numPr>
          <w:ilvl w:val="0"/>
          <w:numId w:val="21"/>
        </w:numPr>
        <w:rPr>
          <w:sz w:val="20"/>
          <w:szCs w:val="20"/>
        </w:rPr>
      </w:pPr>
      <w:r w:rsidRPr="00DD7B11">
        <w:rPr>
          <w:sz w:val="20"/>
          <w:szCs w:val="20"/>
        </w:rPr>
        <w:t>ада</w:t>
      </w:r>
      <w:r w:rsidR="00DD7B11" w:rsidRPr="00DD7B11">
        <w:rPr>
          <w:sz w:val="20"/>
          <w:szCs w:val="20"/>
        </w:rPr>
        <w:t xml:space="preserve">птация их </w:t>
      </w:r>
      <w:r w:rsidR="00DD7B11">
        <w:rPr>
          <w:sz w:val="20"/>
          <w:szCs w:val="20"/>
        </w:rPr>
        <w:t>к жизни в обществе;</w:t>
      </w:r>
    </w:p>
    <w:p w:rsidR="00DD7B11" w:rsidRDefault="00DD7B11" w:rsidP="00DD7B11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формирование общей культуры;</w:t>
      </w:r>
    </w:p>
    <w:p w:rsidR="00165FAE" w:rsidRPr="00DD7B11" w:rsidRDefault="00165FAE" w:rsidP="00DD7B11">
      <w:pPr>
        <w:numPr>
          <w:ilvl w:val="0"/>
          <w:numId w:val="21"/>
        </w:numPr>
        <w:rPr>
          <w:sz w:val="20"/>
          <w:szCs w:val="20"/>
        </w:rPr>
      </w:pPr>
      <w:r w:rsidRPr="00DD7B11">
        <w:rPr>
          <w:sz w:val="20"/>
          <w:szCs w:val="20"/>
        </w:rPr>
        <w:t>организация содержательного досуга.</w:t>
      </w:r>
    </w:p>
    <w:p w:rsidR="00165FAE" w:rsidRDefault="00165FAE" w:rsidP="00165FAE">
      <w:pPr>
        <w:pStyle w:val="ad"/>
      </w:pPr>
      <w:r w:rsidRPr="00391D70">
        <w:t>В инфраструктуру системы дополнительного образования детей в настоящее время входят более 18 тысяч организаций, в которых обучается более 13 миллионов российских детей в возрасте от 6 до 18 лет системы образования, общественных организаций, физической культуры и спорта, культуры, молодёжной политики. Большинство организаций входит в систему образования (почти 9,5 организаций и около 10 миллионов детей). В соответствии с постановлением Правительства Российской Федерации от 7 декабря 2006 года № 752 в России были внесены изменения в номенклатуре (типологии) организаций дополнительного образования детей.</w:t>
      </w:r>
      <w:r w:rsidRPr="00391D70">
        <w:br/>
        <w:t>Организации дополнительного образования детей по формам собственности делятся на федеральные государственные, государственные, негосударственные, муниципальные.</w:t>
      </w:r>
      <w:r w:rsidRPr="00391D70">
        <w:br/>
        <w:t>Существуют следующие виды учреждений:</w:t>
      </w:r>
    </w:p>
    <w:p w:rsidR="00DD7B11" w:rsidRDefault="00165FAE" w:rsidP="00DD7B11">
      <w:pPr>
        <w:pStyle w:val="ad"/>
        <w:numPr>
          <w:ilvl w:val="0"/>
          <w:numId w:val="18"/>
        </w:numPr>
      </w:pPr>
      <w:r w:rsidRPr="00391D70">
        <w:t>центры дополнительного образования детей, развития творчества детей и юношества, творческого развития и гуманитарного образования, детского творчества, внешкольной работы, детского (юношеского) технического творчества (научно-технического, юных техников), детского и юношеского туризма и экскурсий (юных туристов), эстетического воспитания детей (культуры, искусств или по видам искусств), детско-юношеский центр, детский (подростковый) центр, детский экологический (оздоровительно-экологический, эколого-биологический) центр, детский морской центр, детский (юношеский) центр, детский оздоровительно-образовательный (профильный) центр;</w:t>
      </w:r>
    </w:p>
    <w:p w:rsidR="00DD7B11" w:rsidRDefault="00165FAE" w:rsidP="00DD7B11">
      <w:pPr>
        <w:pStyle w:val="ad"/>
        <w:numPr>
          <w:ilvl w:val="0"/>
          <w:numId w:val="18"/>
        </w:numPr>
      </w:pPr>
      <w:r w:rsidRPr="00391D70">
        <w:t xml:space="preserve">дворцы детского (юношеского) творчества, творчества детей и молодежи, учащейся молодежи, пионеров и </w:t>
      </w:r>
      <w:r w:rsidRPr="00391D70">
        <w:lastRenderedPageBreak/>
        <w:t>школьников, юных натуралистов, спорта для детей и юношества, художественного творчества (воспитания) детей, детской культуры (искусств);</w:t>
      </w:r>
      <w:r>
        <w:t xml:space="preserve"> </w:t>
      </w:r>
    </w:p>
    <w:p w:rsidR="00DD7B11" w:rsidRDefault="00165FAE" w:rsidP="00DD7B11">
      <w:pPr>
        <w:pStyle w:val="ad"/>
        <w:numPr>
          <w:ilvl w:val="0"/>
          <w:numId w:val="18"/>
        </w:numPr>
      </w:pPr>
      <w:r w:rsidRPr="00391D70">
        <w:t>дома детского творчества, детства и юношества, учащейся молодежи, пионеров и школьников, юных натуралистов, детского (юношеского) технического творчества (юных техников), детского и юношеского туризма и экскурсий (юных туристов), художественного творчества (воспитания) детей, детской культуры (искусств);</w:t>
      </w:r>
    </w:p>
    <w:p w:rsidR="00165FAE" w:rsidRDefault="00165FAE" w:rsidP="00DD7B11">
      <w:pPr>
        <w:pStyle w:val="ad"/>
        <w:numPr>
          <w:ilvl w:val="0"/>
          <w:numId w:val="18"/>
        </w:numPr>
      </w:pPr>
      <w:r w:rsidRPr="00391D70">
        <w:t>станции юных натуралистов, детского (юношеского) технического творчества (научно-технического, юных техников), детского и юношеского туризма и экскурсий (юных туристов), детская экологическая (эколого-биологическая) станция;</w:t>
      </w:r>
      <w:r>
        <w:t xml:space="preserve"> </w:t>
      </w:r>
      <w:r w:rsidRPr="00391D70">
        <w:t>детская гимназия искусств, в том числе по видам искусств;</w:t>
      </w:r>
    </w:p>
    <w:p w:rsidR="00165FAE" w:rsidRDefault="00165FAE" w:rsidP="00DD7B11">
      <w:pPr>
        <w:pStyle w:val="ad"/>
        <w:numPr>
          <w:ilvl w:val="0"/>
          <w:numId w:val="18"/>
        </w:numPr>
      </w:pPr>
      <w:r w:rsidRPr="00391D70">
        <w:t>детско-юношеские спортивные школы (ДЮСШ);</w:t>
      </w:r>
    </w:p>
    <w:p w:rsidR="00165FAE" w:rsidRDefault="00DD7B11" w:rsidP="00DD7B11">
      <w:pPr>
        <w:pStyle w:val="ad"/>
        <w:numPr>
          <w:ilvl w:val="0"/>
          <w:numId w:val="18"/>
        </w:numPr>
      </w:pPr>
      <w:r>
        <w:rPr>
          <w:lang w:val="en-US"/>
        </w:rPr>
        <w:t>c</w:t>
      </w:r>
      <w:proofErr w:type="spellStart"/>
      <w:r w:rsidR="00165FAE" w:rsidRPr="00391D70">
        <w:t>пециализированная</w:t>
      </w:r>
      <w:proofErr w:type="spellEnd"/>
      <w:r w:rsidR="00165FAE" w:rsidRPr="00391D70">
        <w:t xml:space="preserve"> детско-юношеская спортивная гимназия олимпийского резерва (СДЮСШОР);</w:t>
      </w:r>
    </w:p>
    <w:p w:rsidR="00165FAE" w:rsidRDefault="00165FAE" w:rsidP="00DD7B11">
      <w:pPr>
        <w:pStyle w:val="ad"/>
        <w:numPr>
          <w:ilvl w:val="0"/>
          <w:numId w:val="18"/>
        </w:numPr>
      </w:pPr>
      <w:r w:rsidRPr="00391D70">
        <w:t>детско-юношеские спортивно-адаптивные школы.</w:t>
      </w:r>
    </w:p>
    <w:p w:rsidR="00165FAE" w:rsidRDefault="00165FAE" w:rsidP="00165FAE">
      <w:pPr>
        <w:pStyle w:val="ad"/>
      </w:pPr>
      <w:r w:rsidRPr="00391D70">
        <w:t>Весомой чертой функционирования системы в Российской Федерации считается её бесплатность и общедоступность. Доля коммерческих услуг в учреждениях данного типа не превосходит 10-25 процентов, в неких объединениях (спортивных единоборств, информатики, раннего развития ребёнка, художественного творчества) уровень платности немного повыше, в иных (экологов, краеведов, военно-патриотической направленности, юных путешественников) сводится к нулю.</w:t>
      </w:r>
    </w:p>
    <w:p w:rsidR="00DD7B11" w:rsidRPr="00391D70" w:rsidRDefault="00DD7B11" w:rsidP="00165FAE">
      <w:pPr>
        <w:pStyle w:val="ad"/>
      </w:pPr>
      <w:r>
        <w:t xml:space="preserve">Для функционирования образовательной услуги </w:t>
      </w:r>
      <w:r w:rsidR="008D66F2">
        <w:t xml:space="preserve">необходимы коммуникация непосредственно к потребителю этой услуги. </w:t>
      </w:r>
    </w:p>
    <w:p w:rsidR="00165FAE" w:rsidRPr="00391D70" w:rsidRDefault="00165FAE" w:rsidP="00165FAE">
      <w:pPr>
        <w:pStyle w:val="ad"/>
      </w:pPr>
      <w:r w:rsidRPr="00391D70">
        <w:t>Коммуникация в сфере образования – это процесс обмена информацией между образовательным учреждением и участниками рынка с целью продвижения услуг потенциальным потребителям.</w:t>
      </w:r>
      <w:r w:rsidRPr="00391D70">
        <w:br/>
        <w:t xml:space="preserve">Цель коммуникации – информировать, убеждать или напоминать о своих товарах/услугах или о самом себе. </w:t>
      </w:r>
    </w:p>
    <w:p w:rsidR="00165FAE" w:rsidRPr="00391D70" w:rsidRDefault="00165FAE" w:rsidP="00165FAE">
      <w:pPr>
        <w:pStyle w:val="ad"/>
      </w:pPr>
      <w:r w:rsidRPr="00391D70">
        <w:t>Коммуникационная деятельность осуществляет следующие задачи:</w:t>
      </w:r>
    </w:p>
    <w:p w:rsidR="00165FAE" w:rsidRPr="00450D4A" w:rsidRDefault="00165FAE" w:rsidP="00DD7B11">
      <w:pPr>
        <w:pStyle w:val="ad"/>
        <w:numPr>
          <w:ilvl w:val="0"/>
          <w:numId w:val="19"/>
        </w:numPr>
      </w:pPr>
      <w:r>
        <w:t>с</w:t>
      </w:r>
      <w:r w:rsidRPr="00391D70">
        <w:t>оздание благоприятной обстановки вокруг образовательного учреждения, имиджа</w:t>
      </w:r>
      <w:r w:rsidRPr="00450D4A">
        <w:t>;</w:t>
      </w:r>
    </w:p>
    <w:p w:rsidR="00165FAE" w:rsidRPr="00450D4A" w:rsidRDefault="00165FAE" w:rsidP="00DD7B11">
      <w:pPr>
        <w:pStyle w:val="ad"/>
        <w:numPr>
          <w:ilvl w:val="0"/>
          <w:numId w:val="19"/>
        </w:numPr>
      </w:pPr>
      <w:r>
        <w:t>р</w:t>
      </w:r>
      <w:r w:rsidRPr="00391D70">
        <w:t>ешение информационных задач</w:t>
      </w:r>
      <w:r w:rsidRPr="00450D4A">
        <w:t>;</w:t>
      </w:r>
    </w:p>
    <w:p w:rsidR="00165FAE" w:rsidRDefault="00165FAE" w:rsidP="00DD7B11">
      <w:pPr>
        <w:pStyle w:val="ad"/>
        <w:numPr>
          <w:ilvl w:val="0"/>
          <w:numId w:val="19"/>
        </w:numPr>
      </w:pPr>
      <w:r>
        <w:t>н</w:t>
      </w:r>
      <w:r w:rsidRPr="00391D70">
        <w:t>алаживание обратной связи с группами общественности</w:t>
      </w:r>
      <w:r>
        <w:t>.</w:t>
      </w:r>
    </w:p>
    <w:p w:rsidR="00D3260E" w:rsidRDefault="008D66F2" w:rsidP="00D3260E">
      <w:pPr>
        <w:pStyle w:val="ad"/>
      </w:pPr>
      <w:r w:rsidRPr="00D3260E">
        <w:lastRenderedPageBreak/>
        <w:t>Модель коммуникационного процесса представлена на рис 1. Образовательно</w:t>
      </w:r>
      <w:r w:rsidR="00D3260E" w:rsidRPr="00D3260E">
        <w:t>е</w:t>
      </w:r>
      <w:r w:rsidRPr="00D3260E">
        <w:t xml:space="preserve"> учреждение и целевая аудитория разделены в пространстве, сообщение предается через канал коммуникации (любое средство распространения информации), которая может быть потеряна из-за незапланированных вмешательств среды, которая искажает проходящую через канал информацию</w:t>
      </w:r>
      <w:r>
        <w:t>.</w:t>
      </w:r>
    </w:p>
    <w:p w:rsidR="00165FAE" w:rsidRDefault="00D3260E" w:rsidP="00165FAE">
      <w:pPr>
        <w:pStyle w:val="ad"/>
      </w:pPr>
      <w:r>
        <w:t xml:space="preserve">В зависимости от </w:t>
      </w:r>
      <w:r w:rsidR="00A511CD">
        <w:t>материально-технического оснащения, различаются рода социальной коммуникации (рис.2). Род коммуникации – совокупность родственных канал коммуникации, всего их 3:</w:t>
      </w:r>
    </w:p>
    <w:p w:rsidR="00A511CD" w:rsidRDefault="00A511CD" w:rsidP="00A511CD">
      <w:pPr>
        <w:pStyle w:val="ad"/>
        <w:numPr>
          <w:ilvl w:val="0"/>
          <w:numId w:val="24"/>
        </w:numPr>
      </w:pPr>
      <w:r>
        <w:t>Устная коммуникация – естественные невербальные и вербальные каналы.</w:t>
      </w:r>
    </w:p>
    <w:p w:rsidR="00A511CD" w:rsidRDefault="00A511CD" w:rsidP="00A511CD">
      <w:pPr>
        <w:pStyle w:val="ad"/>
        <w:numPr>
          <w:ilvl w:val="0"/>
          <w:numId w:val="24"/>
        </w:numPr>
      </w:pPr>
      <w:r>
        <w:t>Документная коммуникация – письменность, печать.</w:t>
      </w:r>
    </w:p>
    <w:p w:rsidR="00A511CD" w:rsidRDefault="00A511CD" w:rsidP="00A511CD">
      <w:pPr>
        <w:pStyle w:val="ad"/>
        <w:numPr>
          <w:ilvl w:val="0"/>
          <w:numId w:val="24"/>
        </w:numPr>
      </w:pPr>
      <w:r>
        <w:t>Электронная коммуникация, основанная на микроэлектронной и компьютерной технике, оптических устройствах связи.</w:t>
      </w:r>
    </w:p>
    <w:p w:rsidR="00A511CD" w:rsidRDefault="00A511CD" w:rsidP="00A511CD">
      <w:pPr>
        <w:pStyle w:val="ad"/>
      </w:pPr>
      <w:r>
        <w:t>Все три рода взаимодействуют друг с другом, образуя смешанные коммуникационные каналы, которые под действием технико-экономических факторов эволюционировали со временем.</w:t>
      </w:r>
    </w:p>
    <w:p w:rsidR="00A511CD" w:rsidRPr="00391D70" w:rsidRDefault="00A511CD" w:rsidP="00A511CD">
      <w:pPr>
        <w:pStyle w:val="ad"/>
      </w:pPr>
    </w:p>
    <w:p w:rsidR="00A511CD" w:rsidRDefault="00A511CD" w:rsidP="00DD7B11">
      <w:pPr>
        <w:pStyle w:val="ad"/>
      </w:pPr>
    </w:p>
    <w:p w:rsidR="00A511CD" w:rsidRDefault="00A511CD" w:rsidP="00DD7B11">
      <w:pPr>
        <w:pStyle w:val="ad"/>
      </w:pPr>
    </w:p>
    <w:p w:rsidR="00A511CD" w:rsidRDefault="00184597" w:rsidP="00DD7B11">
      <w:pPr>
        <w:pStyle w:val="ad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A469A0" wp14:editId="4B750B19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27660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1474" y="21402"/>
                <wp:lineTo x="21474" y="0"/>
                <wp:lineTo x="0" y="0"/>
              </wp:wrapPolygon>
            </wp:wrapThrough>
            <wp:docPr id="4" name="Рисунок 2" descr="Глава 6. Маркетинговые коммуникации. Маркетинг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лава 6. Маркетинговые коммуникации. Маркетинг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CD" w:rsidRDefault="00184597" w:rsidP="00DD7B11">
      <w:pPr>
        <w:pStyle w:val="ad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62C9D2F" wp14:editId="58970DFB">
                <wp:simplePos x="0" y="0"/>
                <wp:positionH relativeFrom="column">
                  <wp:posOffset>200025</wp:posOffset>
                </wp:positionH>
                <wp:positionV relativeFrom="paragraph">
                  <wp:posOffset>1064895</wp:posOffset>
                </wp:positionV>
                <wp:extent cx="3806825" cy="247015"/>
                <wp:effectExtent l="12700" t="13335" r="9525" b="635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597" w:rsidRPr="00D3260E" w:rsidRDefault="00184597" w:rsidP="0018459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ис. 1 Коммуникационный процесс образовательного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2C9D2F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5.75pt;margin-top:83.85pt;width:299.75pt;height:19.4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" strokecolor="white">
                <v:textbox style="mso-fit-shape-to-text:t">
                  <w:txbxContent>
                    <w:p w:rsidR="00184597" w:rsidRPr="00D3260E" w:rsidRDefault="00184597" w:rsidP="0018459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ис. 1 Коммуникационный процесс образовательного учреждения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65FAE" w:rsidRPr="00391D70" w:rsidRDefault="00C95923" w:rsidP="00184597">
      <w:pPr>
        <w:pStyle w:val="ad"/>
        <w:ind w:firstLine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88E738" wp14:editId="721B3E03">
                <wp:simplePos x="0" y="0"/>
                <wp:positionH relativeFrom="column">
                  <wp:posOffset>194945</wp:posOffset>
                </wp:positionH>
                <wp:positionV relativeFrom="paragraph">
                  <wp:posOffset>538480</wp:posOffset>
                </wp:positionV>
                <wp:extent cx="3806825" cy="247015"/>
                <wp:effectExtent l="12700" t="8255" r="9525" b="1143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0E" w:rsidRPr="00D3260E" w:rsidRDefault="00D3260E" w:rsidP="00D326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3260E">
                              <w:rPr>
                                <w:sz w:val="20"/>
                                <w:szCs w:val="20"/>
                              </w:rPr>
                              <w:t>Рис. 1 Модель коммуникационного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8E738" id="Надпись 2" o:spid="_x0000_s1027" type="#_x0000_t202" style="position:absolute;left:0;text-align:left;margin-left:15.35pt;margin-top:42.4pt;width:299.75pt;height:19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" strokecolor="white">
                <v:textbox style="mso-fit-shape-to-text:t">
                  <w:txbxContent>
                    <w:p w:rsidR="00D3260E" w:rsidRPr="00D3260E" w:rsidRDefault="00D3260E" w:rsidP="00D326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3260E">
                        <w:rPr>
                          <w:sz w:val="20"/>
                          <w:szCs w:val="20"/>
                        </w:rPr>
                        <w:t>Рис. 1 Модель коммуникационного процесса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59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A26DDDF" wp14:editId="601A7353">
                <wp:simplePos x="0" y="0"/>
                <wp:positionH relativeFrom="column">
                  <wp:posOffset>71120</wp:posOffset>
                </wp:positionH>
                <wp:positionV relativeFrom="paragraph">
                  <wp:posOffset>3063875</wp:posOffset>
                </wp:positionV>
                <wp:extent cx="3806825" cy="247015"/>
                <wp:effectExtent l="12700" t="13335" r="9525" b="63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1CD" w:rsidRPr="00D3260E" w:rsidRDefault="00A511CD" w:rsidP="00A511C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Рис. 2 Три рода коммуникации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6DDDF" id="_x0000_s1028" type="#_x0000_t202" style="position:absolute;left:0;text-align:left;margin-left:5.6pt;margin-top:241.25pt;width:299.75pt;height:19.4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" strokecolor="white">
                <v:textbox style="mso-fit-shape-to-text:t">
                  <w:txbxContent>
                    <w:p w:rsidR="00A511CD" w:rsidRPr="00D3260E" w:rsidRDefault="00A511CD" w:rsidP="00A511C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Рис. 2 Три рода коммуникации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1C723A5" wp14:editId="7FAF71BD">
            <wp:simplePos x="0" y="0"/>
            <wp:positionH relativeFrom="column">
              <wp:posOffset>252095</wp:posOffset>
            </wp:positionH>
            <wp:positionV relativeFrom="paragraph">
              <wp:posOffset>4445</wp:posOffset>
            </wp:positionV>
            <wp:extent cx="3714750" cy="2886075"/>
            <wp:effectExtent l="0" t="0" r="0" b="0"/>
            <wp:wrapThrough wrapText="bothSides">
              <wp:wrapPolygon edited="0">
                <wp:start x="0" y="0"/>
                <wp:lineTo x="0" y="21529"/>
                <wp:lineTo x="21489" y="21529"/>
                <wp:lineTo x="21489" y="0"/>
                <wp:lineTo x="0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FAE" w:rsidRPr="00391D70">
        <w:t>Процесс разработки эффективных каналов коммуникаций включает следующие этапы:</w:t>
      </w:r>
    </w:p>
    <w:p w:rsidR="00165FAE" w:rsidRPr="00391D70" w:rsidRDefault="00165FAE" w:rsidP="00DD7B11">
      <w:pPr>
        <w:pStyle w:val="ad"/>
        <w:numPr>
          <w:ilvl w:val="0"/>
          <w:numId w:val="23"/>
        </w:numPr>
      </w:pPr>
      <w:r w:rsidRPr="00391D70">
        <w:t>Формулирование целей коммуникации – то, что образовательное учреждение желает получить при использовании канала коммуникации.</w:t>
      </w:r>
    </w:p>
    <w:p w:rsidR="00165FAE" w:rsidRDefault="00D3260E" w:rsidP="00DD7B11">
      <w:pPr>
        <w:pStyle w:val="ad"/>
        <w:numPr>
          <w:ilvl w:val="0"/>
          <w:numId w:val="23"/>
        </w:numPr>
      </w:pPr>
      <w:r>
        <w:t>Выявление целевой аудитории. Необходимо определить, кто может стать потенциальным потребителем образовательных услуг.</w:t>
      </w:r>
    </w:p>
    <w:p w:rsidR="00165FAE" w:rsidRPr="00391D70" w:rsidRDefault="00165FAE" w:rsidP="00DD7B11">
      <w:pPr>
        <w:pStyle w:val="ad"/>
        <w:numPr>
          <w:ilvl w:val="0"/>
          <w:numId w:val="23"/>
        </w:numPr>
      </w:pPr>
      <w:r w:rsidRPr="00391D70">
        <w:t>Определение бюджета, необходимого для разработки канала.</w:t>
      </w:r>
    </w:p>
    <w:p w:rsidR="00165FAE" w:rsidRPr="00391D70" w:rsidRDefault="00165FAE" w:rsidP="00DD7B11">
      <w:pPr>
        <w:pStyle w:val="ad"/>
        <w:numPr>
          <w:ilvl w:val="0"/>
          <w:numId w:val="23"/>
        </w:numPr>
      </w:pPr>
      <w:r w:rsidRPr="00391D70">
        <w:t>Претворение в жизнь.</w:t>
      </w:r>
    </w:p>
    <w:p w:rsidR="00165FAE" w:rsidRPr="00391D70" w:rsidRDefault="00165FAE" w:rsidP="00DD7B11">
      <w:pPr>
        <w:pStyle w:val="ad"/>
        <w:numPr>
          <w:ilvl w:val="0"/>
          <w:numId w:val="23"/>
        </w:numPr>
      </w:pPr>
      <w:r w:rsidRPr="00391D70">
        <w:t>Сбор информации по обратной связи.</w:t>
      </w:r>
      <w:r w:rsidR="00D3260E">
        <w:t xml:space="preserve"> Необходимо дать оценку, какие средства связи целесообразно использовать.</w:t>
      </w:r>
    </w:p>
    <w:p w:rsidR="00165FAE" w:rsidRDefault="00165FAE" w:rsidP="00DD7B11">
      <w:pPr>
        <w:pStyle w:val="ad"/>
        <w:numPr>
          <w:ilvl w:val="0"/>
          <w:numId w:val="23"/>
        </w:numPr>
      </w:pPr>
      <w:r w:rsidRPr="00391D70">
        <w:t>Корректировка канала коммуникации.</w:t>
      </w:r>
    </w:p>
    <w:p w:rsidR="00DD7B11" w:rsidRDefault="00DD7B11" w:rsidP="00DD7B11">
      <w:pPr>
        <w:pStyle w:val="ad"/>
        <w:ind w:left="360" w:firstLine="0"/>
      </w:pPr>
    </w:p>
    <w:p w:rsidR="004F2EEB" w:rsidRDefault="00CF7F3B" w:rsidP="006A630E">
      <w:pPr>
        <w:pStyle w:val="ad"/>
        <w:ind w:left="360" w:firstLine="0"/>
      </w:pPr>
      <w:r>
        <w:t>С</w:t>
      </w:r>
      <w:r w:rsidR="00DD7B11">
        <w:t>оздание эффективной коммуникации способствует развитию образовательного учре</w:t>
      </w:r>
      <w:r>
        <w:t>ждения, стабильности его работы, уравновешиванию инт</w:t>
      </w:r>
      <w:r w:rsidR="006A630E">
        <w:t>ересов учреждения и их клиентов.</w:t>
      </w:r>
      <w:bookmarkStart w:id="0" w:name="_GoBack"/>
      <w:bookmarkEnd w:id="0"/>
    </w:p>
    <w:p w:rsidR="004F2EEB" w:rsidRDefault="004F2EEB" w:rsidP="004F2EEB">
      <w:pPr>
        <w:pStyle w:val="af4"/>
      </w:pPr>
      <w:r>
        <w:lastRenderedPageBreak/>
        <w:t>Литература</w:t>
      </w:r>
    </w:p>
    <w:p w:rsidR="00CF7F3B" w:rsidRDefault="00CF7F3B" w:rsidP="00CF7F3B">
      <w:pPr>
        <w:pStyle w:val="a"/>
      </w:pPr>
      <w:proofErr w:type="spellStart"/>
      <w:r w:rsidRPr="00CF7F3B">
        <w:t>Мориати</w:t>
      </w:r>
      <w:proofErr w:type="spellEnd"/>
      <w:r w:rsidRPr="00CF7F3B">
        <w:t xml:space="preserve"> С., </w:t>
      </w:r>
      <w:proofErr w:type="spellStart"/>
      <w:r w:rsidRPr="00CF7F3B">
        <w:t>Бернет</w:t>
      </w:r>
      <w:proofErr w:type="spellEnd"/>
      <w:r w:rsidRPr="00CF7F3B">
        <w:t xml:space="preserve"> Дж. Маркетинговые коммуникации. Интегрированный подход. СП</w:t>
      </w:r>
      <w:r>
        <w:t>б.</w:t>
      </w:r>
      <w:r w:rsidRPr="00CF7F3B">
        <w:t>: Питер, 2001. 864 с.</w:t>
      </w:r>
    </w:p>
    <w:p w:rsidR="00CF7F3B" w:rsidRDefault="00CF7F3B" w:rsidP="00CF7F3B">
      <w:pPr>
        <w:pStyle w:val="a"/>
      </w:pPr>
      <w:r w:rsidRPr="00CF7F3B">
        <w:t xml:space="preserve">Кули Ч. Общественная организация. Изучение углубленного разума // Тексты по истории социологии XIX-XX веков. Хрестоматия /Сост. и отв. ред. В.И. </w:t>
      </w:r>
      <w:proofErr w:type="spellStart"/>
      <w:r w:rsidRPr="00CF7F3B">
        <w:t>Добреньков</w:t>
      </w:r>
      <w:proofErr w:type="spellEnd"/>
      <w:r w:rsidRPr="00CF7F3B">
        <w:t xml:space="preserve">, Л.П. </w:t>
      </w:r>
      <w:proofErr w:type="spellStart"/>
      <w:r w:rsidRPr="00CF7F3B">
        <w:t>Беленкова</w:t>
      </w:r>
      <w:proofErr w:type="spellEnd"/>
      <w:r w:rsidRPr="00CF7F3B">
        <w:t>. М.: Наука, 1994.</w:t>
      </w:r>
    </w:p>
    <w:p w:rsidR="00CF7F3B" w:rsidRDefault="00CF7F3B" w:rsidP="00CF7F3B">
      <w:pPr>
        <w:pStyle w:val="a"/>
      </w:pPr>
      <w:r w:rsidRPr="00CF7F3B">
        <w:t xml:space="preserve">Кузьмина Е.Е. Маркетинг образовательных </w:t>
      </w:r>
      <w:proofErr w:type="gramStart"/>
      <w:r w:rsidRPr="00CF7F3B">
        <w:t>услуг./</w:t>
      </w:r>
      <w:proofErr w:type="gramEnd"/>
      <w:r w:rsidRPr="00CF7F3B">
        <w:t xml:space="preserve"> Е.Е. Кузьмина. М.: </w:t>
      </w:r>
      <w:proofErr w:type="spellStart"/>
      <w:r w:rsidRPr="00CF7F3B">
        <w:t>Юрайт</w:t>
      </w:r>
      <w:proofErr w:type="spellEnd"/>
      <w:r w:rsidRPr="00CF7F3B">
        <w:t>, 2012. 336 с.</w:t>
      </w:r>
    </w:p>
    <w:p w:rsidR="00CF7F3B" w:rsidRDefault="00CF7F3B" w:rsidP="00CF7F3B">
      <w:pPr>
        <w:pStyle w:val="a"/>
      </w:pPr>
      <w:r w:rsidRPr="00CF7F3B">
        <w:t>Рябков О. А. Особенности коммуникационной политики в сфере образовательных услуг. // Управление экономическими системами. [Электронный научный журнал.] Электрон</w:t>
      </w:r>
      <w:proofErr w:type="gramStart"/>
      <w:r w:rsidRPr="00CF7F3B">
        <w:t>.</w:t>
      </w:r>
      <w:proofErr w:type="gramEnd"/>
      <w:r w:rsidRPr="00CF7F3B">
        <w:t xml:space="preserve"> дан. – M., [2011] – Режим доступа: </w:t>
      </w:r>
      <w:hyperlink r:id="rId11" w:history="1">
        <w:r w:rsidRPr="00ED2BB9">
          <w:rPr>
            <w:rStyle w:val="a6"/>
          </w:rPr>
          <w:t>http://www.uecs.ru/marketing/item/775-2011-11-11-06-05-00</w:t>
        </w:r>
      </w:hyperlink>
    </w:p>
    <w:p w:rsidR="00CF7F3B" w:rsidRPr="00CF7F3B" w:rsidRDefault="00CF7F3B" w:rsidP="00CF7F3B">
      <w:pPr>
        <w:pStyle w:val="a"/>
      </w:pPr>
      <w:r w:rsidRPr="00CF7F3B">
        <w:t xml:space="preserve">Об образовании в Российской Федерации: Федеральный закон [от 29 декабря 2012 г. № 273-ФЗ] // </w:t>
      </w:r>
      <w:proofErr w:type="spellStart"/>
      <w:r w:rsidRPr="00CF7F3B">
        <w:t>КонсультантПлюс</w:t>
      </w:r>
      <w:proofErr w:type="spellEnd"/>
      <w:r w:rsidRPr="00CF7F3B">
        <w:t xml:space="preserve">. – </w:t>
      </w:r>
      <w:proofErr w:type="spellStart"/>
      <w:r w:rsidRPr="00CF7F3B">
        <w:t>ВерсияПроф</w:t>
      </w:r>
      <w:proofErr w:type="spellEnd"/>
      <w:r w:rsidRPr="00CF7F3B">
        <w:t xml:space="preserve"> [Электронный ресурс]. – Электрон</w:t>
      </w:r>
      <w:proofErr w:type="gramStart"/>
      <w:r w:rsidRPr="00CF7F3B">
        <w:t>.</w:t>
      </w:r>
      <w:proofErr w:type="gramEnd"/>
      <w:r w:rsidRPr="00CF7F3B">
        <w:t xml:space="preserve"> дан. – М., 2014. – Режим доступа: http:// </w:t>
      </w:r>
      <w:hyperlink r:id="rId12" w:history="1">
        <w:r w:rsidRPr="00CF7F3B">
          <w:t>www.consultant.ru</w:t>
        </w:r>
      </w:hyperlink>
    </w:p>
    <w:p w:rsidR="00CF7F3B" w:rsidRPr="00CF7F3B" w:rsidRDefault="00CF7F3B" w:rsidP="00CF7F3B">
      <w:pPr>
        <w:pStyle w:val="a"/>
      </w:pPr>
      <w:r w:rsidRPr="00CF7F3B">
        <w:t xml:space="preserve">Национальная доктрина образования в Российской Федерации до 2025 г. // </w:t>
      </w:r>
      <w:proofErr w:type="spellStart"/>
      <w:r w:rsidRPr="00CF7F3B">
        <w:t>КонсультантПлюс</w:t>
      </w:r>
      <w:proofErr w:type="spellEnd"/>
      <w:r w:rsidRPr="00CF7F3B">
        <w:t xml:space="preserve">. – </w:t>
      </w:r>
      <w:proofErr w:type="spellStart"/>
      <w:r w:rsidRPr="00CF7F3B">
        <w:t>ВерсияПроф</w:t>
      </w:r>
      <w:proofErr w:type="spellEnd"/>
      <w:r w:rsidRPr="00CF7F3B">
        <w:t xml:space="preserve"> [Электронный ресурс]. – Электрон</w:t>
      </w:r>
      <w:proofErr w:type="gramStart"/>
      <w:r w:rsidRPr="00CF7F3B">
        <w:t>.</w:t>
      </w:r>
      <w:proofErr w:type="gramEnd"/>
      <w:r w:rsidRPr="00CF7F3B">
        <w:t xml:space="preserve"> дан. – М., 2014. – Режим доступа: http: // www.consultant.ru</w:t>
      </w:r>
    </w:p>
    <w:p w:rsidR="004F2EEB" w:rsidRPr="004F2EEB" w:rsidRDefault="004F2EEB" w:rsidP="004F2EEB">
      <w:pPr>
        <w:pStyle w:val="ad"/>
      </w:pPr>
    </w:p>
    <w:sectPr w:rsidR="004F2EEB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EEA" w:rsidRDefault="00D54EEA" w:rsidP="00165FAE">
      <w:r>
        <w:separator/>
      </w:r>
    </w:p>
  </w:endnote>
  <w:endnote w:type="continuationSeparator" w:id="0">
    <w:p w:rsidR="00D54EEA" w:rsidRDefault="00D54EEA" w:rsidP="0016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EEA" w:rsidRDefault="00D54EEA" w:rsidP="00165FAE">
      <w:r>
        <w:separator/>
      </w:r>
    </w:p>
  </w:footnote>
  <w:footnote w:type="continuationSeparator" w:id="0">
    <w:p w:rsidR="00D54EEA" w:rsidRDefault="00D54EEA" w:rsidP="00165FAE">
      <w:r>
        <w:continuationSeparator/>
      </w:r>
    </w:p>
  </w:footnote>
  <w:footnote w:id="1">
    <w:p w:rsidR="00165FAE" w:rsidRPr="00165FAE" w:rsidRDefault="00165FAE">
      <w:pPr>
        <w:pStyle w:val="af6"/>
        <w:rPr>
          <w:rFonts w:ascii="Times New Roman" w:hAnsi="Times New Roman"/>
          <w:sz w:val="16"/>
          <w:szCs w:val="16"/>
        </w:rPr>
      </w:pPr>
      <w:r w:rsidRPr="00165FAE">
        <w:rPr>
          <w:rStyle w:val="af8"/>
          <w:rFonts w:ascii="Times New Roman" w:hAnsi="Times New Roman"/>
          <w:sz w:val="16"/>
          <w:szCs w:val="16"/>
        </w:rPr>
        <w:footnoteRef/>
      </w:r>
      <w:r w:rsidRPr="00165FA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165FAE">
        <w:rPr>
          <w:rFonts w:ascii="Times New Roman" w:hAnsi="Times New Roman"/>
          <w:sz w:val="16"/>
          <w:szCs w:val="16"/>
        </w:rPr>
        <w:t>Мориати</w:t>
      </w:r>
      <w:proofErr w:type="spellEnd"/>
      <w:r w:rsidRPr="00165FAE">
        <w:rPr>
          <w:rFonts w:ascii="Times New Roman" w:hAnsi="Times New Roman"/>
          <w:sz w:val="16"/>
          <w:szCs w:val="16"/>
        </w:rPr>
        <w:t xml:space="preserve"> С., </w:t>
      </w:r>
      <w:proofErr w:type="spellStart"/>
      <w:r w:rsidRPr="00165FAE">
        <w:rPr>
          <w:rFonts w:ascii="Times New Roman" w:hAnsi="Times New Roman"/>
          <w:sz w:val="16"/>
          <w:szCs w:val="16"/>
        </w:rPr>
        <w:t>Бернет</w:t>
      </w:r>
      <w:proofErr w:type="spellEnd"/>
      <w:r w:rsidRPr="00165FAE">
        <w:rPr>
          <w:rFonts w:ascii="Times New Roman" w:hAnsi="Times New Roman"/>
          <w:sz w:val="16"/>
          <w:szCs w:val="16"/>
        </w:rPr>
        <w:t xml:space="preserve"> Дж. Маркетинговые коммуникации. Интегрированный подход. СПб</w:t>
      </w:r>
      <w:proofErr w:type="gramStart"/>
      <w:r w:rsidRPr="00165FAE">
        <w:rPr>
          <w:rFonts w:ascii="Times New Roman" w:hAnsi="Times New Roman"/>
          <w:sz w:val="16"/>
          <w:szCs w:val="16"/>
        </w:rPr>
        <w:t>. :</w:t>
      </w:r>
      <w:proofErr w:type="gramEnd"/>
      <w:r w:rsidRPr="00165FAE">
        <w:rPr>
          <w:rFonts w:ascii="Times New Roman" w:hAnsi="Times New Roman"/>
          <w:sz w:val="16"/>
          <w:szCs w:val="16"/>
        </w:rPr>
        <w:t xml:space="preserve"> Питер, 2001. 864 с.</w:t>
      </w:r>
    </w:p>
  </w:footnote>
  <w:footnote w:id="2">
    <w:p w:rsidR="00165FAE" w:rsidRPr="00165FAE" w:rsidRDefault="00165FAE">
      <w:pPr>
        <w:pStyle w:val="af6"/>
      </w:pPr>
      <w:r>
        <w:rPr>
          <w:rStyle w:val="af8"/>
        </w:rPr>
        <w:footnoteRef/>
      </w:r>
      <w:r>
        <w:t xml:space="preserve"> </w:t>
      </w:r>
      <w:r w:rsidRPr="00165FAE">
        <w:rPr>
          <w:rFonts w:ascii="Times New Roman" w:hAnsi="Times New Roman"/>
          <w:sz w:val="16"/>
          <w:szCs w:val="16"/>
        </w:rPr>
        <w:t xml:space="preserve">Кули Ч. Общественная организация. Изучение углубленного разума // Тексты по истории социологии XIX-XX веков. Хрестоматия /Сост. и отв. ред. В.И. </w:t>
      </w:r>
      <w:proofErr w:type="spellStart"/>
      <w:r w:rsidRPr="00165FAE">
        <w:rPr>
          <w:rFonts w:ascii="Times New Roman" w:hAnsi="Times New Roman"/>
          <w:sz w:val="16"/>
          <w:szCs w:val="16"/>
        </w:rPr>
        <w:t>Добреньков</w:t>
      </w:r>
      <w:proofErr w:type="spellEnd"/>
      <w:r w:rsidRPr="00165FAE">
        <w:rPr>
          <w:rFonts w:ascii="Times New Roman" w:hAnsi="Times New Roman"/>
          <w:sz w:val="16"/>
          <w:szCs w:val="16"/>
        </w:rPr>
        <w:t xml:space="preserve">, Л.П. </w:t>
      </w:r>
      <w:proofErr w:type="spellStart"/>
      <w:r w:rsidRPr="00165FAE">
        <w:rPr>
          <w:rFonts w:ascii="Times New Roman" w:hAnsi="Times New Roman"/>
          <w:sz w:val="16"/>
          <w:szCs w:val="16"/>
        </w:rPr>
        <w:t>Беленкова</w:t>
      </w:r>
      <w:proofErr w:type="spellEnd"/>
      <w:r w:rsidRPr="00165FAE">
        <w:rPr>
          <w:rFonts w:ascii="Times New Roman" w:hAnsi="Times New Roman"/>
          <w:sz w:val="16"/>
          <w:szCs w:val="16"/>
        </w:rPr>
        <w:t>. М.: Наука, 1994.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051238E0"/>
    <w:multiLevelType w:val="hybridMultilevel"/>
    <w:tmpl w:val="DD2E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2752"/>
    <w:multiLevelType w:val="hybridMultilevel"/>
    <w:tmpl w:val="679A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C61"/>
    <w:multiLevelType w:val="hybridMultilevel"/>
    <w:tmpl w:val="B44C7B8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0E1F688F"/>
    <w:multiLevelType w:val="hybridMultilevel"/>
    <w:tmpl w:val="E708C2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BA0554"/>
    <w:multiLevelType w:val="hybridMultilevel"/>
    <w:tmpl w:val="244C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95959"/>
    <w:multiLevelType w:val="hybridMultilevel"/>
    <w:tmpl w:val="BB240696"/>
    <w:lvl w:ilvl="0" w:tplc="A488852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54C48BC"/>
    <w:multiLevelType w:val="hybridMultilevel"/>
    <w:tmpl w:val="13B6994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238C601F"/>
    <w:multiLevelType w:val="hybridMultilevel"/>
    <w:tmpl w:val="B1D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 w15:restartNumberingAfterBreak="0">
    <w:nsid w:val="374173BC"/>
    <w:multiLevelType w:val="hybridMultilevel"/>
    <w:tmpl w:val="7A660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 w15:restartNumberingAfterBreak="0">
    <w:nsid w:val="44F94CAD"/>
    <w:multiLevelType w:val="hybridMultilevel"/>
    <w:tmpl w:val="AB28A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BF2F8C"/>
    <w:multiLevelType w:val="hybridMultilevel"/>
    <w:tmpl w:val="7D86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41937"/>
    <w:multiLevelType w:val="hybridMultilevel"/>
    <w:tmpl w:val="16484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81393"/>
    <w:multiLevelType w:val="hybridMultilevel"/>
    <w:tmpl w:val="1F96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8A3813"/>
    <w:multiLevelType w:val="hybridMultilevel"/>
    <w:tmpl w:val="E51A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3"/>
  </w:num>
  <w:num w:numId="6">
    <w:abstractNumId w:val="21"/>
  </w:num>
  <w:num w:numId="7">
    <w:abstractNumId w:val="11"/>
  </w:num>
  <w:num w:numId="8">
    <w:abstractNumId w:val="10"/>
  </w:num>
  <w:num w:numId="9">
    <w:abstractNumId w:val="22"/>
  </w:num>
  <w:num w:numId="10">
    <w:abstractNumId w:val="17"/>
  </w:num>
  <w:num w:numId="11">
    <w:abstractNumId w:val="2"/>
  </w:num>
  <w:num w:numId="12">
    <w:abstractNumId w:val="16"/>
  </w:num>
  <w:num w:numId="13">
    <w:abstractNumId w:val="1"/>
  </w:num>
  <w:num w:numId="14">
    <w:abstractNumId w:val="6"/>
  </w:num>
  <w:num w:numId="15">
    <w:abstractNumId w:val="20"/>
  </w:num>
  <w:num w:numId="16">
    <w:abstractNumId w:val="4"/>
  </w:num>
  <w:num w:numId="17">
    <w:abstractNumId w:val="19"/>
  </w:num>
  <w:num w:numId="18">
    <w:abstractNumId w:val="9"/>
  </w:num>
  <w:num w:numId="19">
    <w:abstractNumId w:val="14"/>
  </w:num>
  <w:num w:numId="20">
    <w:abstractNumId w:val="3"/>
  </w:num>
  <w:num w:numId="21">
    <w:abstractNumId w:val="18"/>
  </w:num>
  <w:num w:numId="22">
    <w:abstractNumId w:val="8"/>
  </w:num>
  <w:num w:numId="23">
    <w:abstractNumId w:val="23"/>
  </w:num>
  <w:num w:numId="24">
    <w:abstractNumId w:val="7"/>
  </w:num>
  <w:num w:numId="25">
    <w:abstractNumId w:val="12"/>
    <w:lvlOverride w:ilvl="0">
      <w:startOverride w:val="1"/>
    </w:lvlOverride>
  </w:num>
  <w:num w:numId="26">
    <w:abstractNumId w:val="1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E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5FAE"/>
    <w:rsid w:val="00167BFB"/>
    <w:rsid w:val="0017325A"/>
    <w:rsid w:val="00184597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630E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6F2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511CD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70985"/>
    <w:rsid w:val="00B81754"/>
    <w:rsid w:val="00C1784A"/>
    <w:rsid w:val="00C21A9C"/>
    <w:rsid w:val="00C37F5F"/>
    <w:rsid w:val="00C44C6C"/>
    <w:rsid w:val="00C63AAB"/>
    <w:rsid w:val="00C86B25"/>
    <w:rsid w:val="00C95923"/>
    <w:rsid w:val="00CD6328"/>
    <w:rsid w:val="00CE154A"/>
    <w:rsid w:val="00CF7B20"/>
    <w:rsid w:val="00CF7F3B"/>
    <w:rsid w:val="00D11C5C"/>
    <w:rsid w:val="00D12563"/>
    <w:rsid w:val="00D155CC"/>
    <w:rsid w:val="00D224A6"/>
    <w:rsid w:val="00D316B3"/>
    <w:rsid w:val="00D3260E"/>
    <w:rsid w:val="00D37E8A"/>
    <w:rsid w:val="00D50310"/>
    <w:rsid w:val="00D53586"/>
    <w:rsid w:val="00D54EEA"/>
    <w:rsid w:val="00D5566C"/>
    <w:rsid w:val="00D63CCB"/>
    <w:rsid w:val="00DC3EC7"/>
    <w:rsid w:val="00DC7B6C"/>
    <w:rsid w:val="00DD7B11"/>
    <w:rsid w:val="00DF2B01"/>
    <w:rsid w:val="00E26FC5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D24EBF"/>
  <w15:chartTrackingRefBased/>
  <w15:docId w15:val="{986E63C3-40A9-4FAA-B47D-607D9C83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link w:val="aa"/>
    <w:rsid w:val="004F2EEB"/>
    <w:rPr>
      <w:lang w:val="ru-RU" w:eastAsia="ru-RU" w:bidi="ar-SA"/>
    </w:rPr>
  </w:style>
  <w:style w:type="paragraph" w:styleId="HTML">
    <w:name w:val="HTML Preformatted"/>
    <w:basedOn w:val="a2"/>
    <w:link w:val="HTML0"/>
    <w:uiPriority w:val="99"/>
    <w:unhideWhenUsed/>
    <w:rsid w:val="00165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65FAE"/>
    <w:rPr>
      <w:rFonts w:ascii="Courier New" w:hAnsi="Courier New" w:cs="Courier New"/>
    </w:rPr>
  </w:style>
  <w:style w:type="character" w:customStyle="1" w:styleId="y2iqfc">
    <w:name w:val="y2iqfc"/>
    <w:rsid w:val="00165FAE"/>
  </w:style>
  <w:style w:type="paragraph" w:customStyle="1" w:styleId="1">
    <w:name w:val="Стиль1"/>
    <w:basedOn w:val="a2"/>
    <w:link w:val="10"/>
    <w:qFormat/>
    <w:rsid w:val="00165FAE"/>
    <w:pPr>
      <w:spacing w:line="360" w:lineRule="auto"/>
      <w:ind w:firstLine="709"/>
      <w:jc w:val="both"/>
    </w:pPr>
    <w:rPr>
      <w:rFonts w:eastAsia="Calibri"/>
      <w:sz w:val="28"/>
      <w:szCs w:val="28"/>
      <w:lang w:val="uk-UA" w:eastAsia="en-US"/>
    </w:rPr>
  </w:style>
  <w:style w:type="character" w:customStyle="1" w:styleId="10">
    <w:name w:val="Стиль1 Знак"/>
    <w:link w:val="1"/>
    <w:rsid w:val="00165FAE"/>
    <w:rPr>
      <w:rFonts w:eastAsia="Calibri"/>
      <w:sz w:val="28"/>
      <w:szCs w:val="28"/>
      <w:lang w:val="uk-UA" w:eastAsia="en-US"/>
    </w:rPr>
  </w:style>
  <w:style w:type="paragraph" w:styleId="af6">
    <w:name w:val="footnote text"/>
    <w:basedOn w:val="a2"/>
    <w:link w:val="af7"/>
    <w:uiPriority w:val="99"/>
    <w:unhideWhenUsed/>
    <w:rsid w:val="00165FAE"/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rsid w:val="00165FAE"/>
    <w:rPr>
      <w:rFonts w:ascii="Calibri" w:eastAsia="Calibri" w:hAnsi="Calibri"/>
      <w:lang w:eastAsia="en-US"/>
    </w:rPr>
  </w:style>
  <w:style w:type="character" w:styleId="af8">
    <w:name w:val="footnote reference"/>
    <w:uiPriority w:val="99"/>
    <w:unhideWhenUsed/>
    <w:rsid w:val="00165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cs.ru/marketing/item/775-2011-11-11-06-05-0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storage.yandexcloud.net/wr4img/402633_43_i_099.pn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\Desktop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2B94C-2726-4F99-AF4D-37FABD82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79</TotalTime>
  <Pages>7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10536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RePack by Diakov</dc:creator>
  <cp:keywords/>
  <dc:description/>
  <cp:lastModifiedBy>RePack by Diakov</cp:lastModifiedBy>
  <cp:revision>2</cp:revision>
  <cp:lastPrinted>1601-01-01T00:00:00Z</cp:lastPrinted>
  <dcterms:created xsi:type="dcterms:W3CDTF">2022-05-19T09:05:00Z</dcterms:created>
  <dcterms:modified xsi:type="dcterms:W3CDTF">2022-05-19T10:26:00Z</dcterms:modified>
</cp:coreProperties>
</file>